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10903" w14:textId="7CA32280" w:rsidR="00027F14" w:rsidRPr="00C15592" w:rsidRDefault="00306261" w:rsidP="00CE0AE7">
      <w:pPr>
        <w:pStyle w:val="Heading1"/>
        <w:spacing w:before="0" w:after="0"/>
        <w:rPr>
          <w:rFonts w:asciiTheme="minorHAnsi" w:hAnsiTheme="minorHAnsi"/>
          <w:b/>
          <w:color w:val="auto"/>
        </w:rPr>
      </w:pPr>
      <w:bookmarkStart w:id="0" w:name="_Toc67124824"/>
      <w:bookmarkStart w:id="1" w:name="_Toc73272229"/>
      <w:bookmarkStart w:id="2" w:name="_Toc75011513"/>
      <w:bookmarkStart w:id="3" w:name="_Toc75011727"/>
      <w:bookmarkStart w:id="4" w:name="_Toc75012907"/>
      <w:bookmarkStart w:id="5" w:name="_Toc75013350"/>
      <w:bookmarkStart w:id="6" w:name="_Toc368567345"/>
      <w:r>
        <w:rPr>
          <w:rFonts w:asciiTheme="minorHAnsi" w:hAnsiTheme="minorHAnsi"/>
          <w:b/>
          <w:color w:val="auto"/>
        </w:rPr>
        <w:t xml:space="preserve">Selection of </w:t>
      </w:r>
      <w:bookmarkEnd w:id="0"/>
      <w:bookmarkEnd w:id="1"/>
      <w:bookmarkEnd w:id="2"/>
      <w:bookmarkEnd w:id="3"/>
      <w:bookmarkEnd w:id="4"/>
      <w:bookmarkEnd w:id="5"/>
      <w:bookmarkEnd w:id="6"/>
      <w:r w:rsidR="00CE0AE7" w:rsidRPr="00C15592">
        <w:rPr>
          <w:rFonts w:asciiTheme="minorHAnsi" w:hAnsiTheme="minorHAnsi"/>
          <w:b/>
          <w:color w:val="auto"/>
        </w:rPr>
        <w:t>AusTOMs References</w:t>
      </w:r>
      <w:r w:rsidR="00027F14" w:rsidRPr="00C15592">
        <w:rPr>
          <w:rFonts w:asciiTheme="minorHAnsi" w:hAnsiTheme="minorHAnsi"/>
          <w:b/>
          <w:color w:val="auto"/>
        </w:rPr>
        <w:t xml:space="preserve"> </w:t>
      </w:r>
      <w:r w:rsidR="00C15592" w:rsidRPr="00C15592">
        <w:rPr>
          <w:rFonts w:asciiTheme="minorHAnsi" w:hAnsiTheme="minorHAnsi"/>
          <w:b/>
          <w:color w:val="auto"/>
        </w:rPr>
        <w:t xml:space="preserve"> </w:t>
      </w:r>
    </w:p>
    <w:p w14:paraId="3BF3A2A3" w14:textId="77777777" w:rsidR="00306261" w:rsidRPr="00306261" w:rsidRDefault="00306261" w:rsidP="00306261">
      <w:pPr>
        <w:pStyle w:val="BodyText"/>
        <w:spacing w:after="0" w:line="240" w:lineRule="auto"/>
        <w:jc w:val="left"/>
        <w:rPr>
          <w:rFonts w:asciiTheme="minorHAnsi" w:hAnsiTheme="minorHAnsi"/>
          <w:sz w:val="24"/>
          <w:szCs w:val="24"/>
        </w:rPr>
      </w:pPr>
    </w:p>
    <w:p w14:paraId="3C3BA4D1" w14:textId="77777777" w:rsidR="00071073" w:rsidRPr="00CE0AE7" w:rsidRDefault="00071073" w:rsidP="00CE0AE7">
      <w:pPr>
        <w:spacing w:after="0"/>
        <w:ind w:left="567" w:hanging="567"/>
        <w:rPr>
          <w:rFonts w:cstheme="minorHAnsi"/>
          <w:sz w:val="24"/>
          <w:szCs w:val="24"/>
          <w:lang w:eastAsia="en-AU"/>
        </w:rPr>
      </w:pPr>
      <w:r w:rsidRPr="00CE0AE7">
        <w:rPr>
          <w:rFonts w:cstheme="minorHAnsi"/>
          <w:sz w:val="24"/>
          <w:szCs w:val="24"/>
          <w:lang w:eastAsia="en-AU"/>
        </w:rPr>
        <w:t xml:space="preserve">Abu-Awad, Y., Unsworth, C.A., Coulson, M., &amp; </w:t>
      </w:r>
      <w:proofErr w:type="spellStart"/>
      <w:r w:rsidRPr="00CE0AE7">
        <w:rPr>
          <w:rFonts w:cstheme="minorHAnsi"/>
          <w:bCs/>
          <w:sz w:val="24"/>
          <w:szCs w:val="24"/>
        </w:rPr>
        <w:t>Sarigiannis</w:t>
      </w:r>
      <w:proofErr w:type="spellEnd"/>
      <w:r w:rsidRPr="00CE0AE7">
        <w:rPr>
          <w:rFonts w:cstheme="minorHAnsi"/>
          <w:sz w:val="24"/>
          <w:szCs w:val="24"/>
          <w:lang w:eastAsia="en-AU"/>
        </w:rPr>
        <w:t xml:space="preserve">, M. (2014). </w:t>
      </w:r>
      <w:r w:rsidRPr="00CE0AE7">
        <w:rPr>
          <w:rFonts w:cstheme="minorHAnsi"/>
          <w:bCs/>
          <w:sz w:val="24"/>
          <w:szCs w:val="24"/>
        </w:rPr>
        <w:t>Using the Australian Therapy Outcome Measures for Occupational Therapy (AusTOMs-OT) to measure client participation outcomes</w:t>
      </w:r>
      <w:r w:rsidRPr="00CE0AE7">
        <w:rPr>
          <w:rFonts w:cstheme="minorHAnsi"/>
          <w:sz w:val="24"/>
          <w:szCs w:val="24"/>
          <w:lang w:eastAsia="en-AU"/>
        </w:rPr>
        <w:t xml:space="preserve">.  </w:t>
      </w:r>
      <w:r w:rsidRPr="00CE0AE7">
        <w:rPr>
          <w:rFonts w:cstheme="minorHAnsi"/>
          <w:i/>
          <w:sz w:val="24"/>
          <w:szCs w:val="24"/>
          <w:lang w:eastAsia="en-AU"/>
        </w:rPr>
        <w:t xml:space="preserve">British Journal of Occupational Therapy, 77 (2), </w:t>
      </w:r>
      <w:r w:rsidRPr="00CE0AE7">
        <w:rPr>
          <w:rFonts w:cstheme="minorHAnsi"/>
          <w:sz w:val="24"/>
          <w:szCs w:val="24"/>
          <w:lang w:eastAsia="en-AU"/>
        </w:rPr>
        <w:t>44-49.</w:t>
      </w:r>
    </w:p>
    <w:p w14:paraId="2766E8F3" w14:textId="77777777" w:rsidR="004E6DAE" w:rsidRPr="00CE0AE7" w:rsidRDefault="004E6DAE" w:rsidP="00CE0AE7">
      <w:pPr>
        <w:spacing w:after="0"/>
        <w:ind w:left="567" w:hanging="567"/>
        <w:rPr>
          <w:rFonts w:cstheme="minorHAnsi"/>
          <w:i/>
          <w:iCs/>
          <w:sz w:val="24"/>
          <w:szCs w:val="24"/>
        </w:rPr>
      </w:pPr>
      <w:r w:rsidRPr="00CE0AE7">
        <w:rPr>
          <w:rFonts w:cstheme="minorHAnsi"/>
          <w:color w:val="000000"/>
          <w:sz w:val="24"/>
          <w:szCs w:val="24"/>
          <w:lang w:eastAsia="en-AU"/>
        </w:rPr>
        <w:t>Alderdice, E., Wolfe, D., Timmer, A.J., &amp; Unsworth, C.A. (2021).  The use of the AusTOMs-OT to record outcomes in an occupational therapy homeless service</w:t>
      </w:r>
      <w:r w:rsidRPr="00CE0AE7">
        <w:rPr>
          <w:rFonts w:cstheme="minorHAnsi"/>
          <w:sz w:val="24"/>
          <w:szCs w:val="24"/>
        </w:rPr>
        <w:t xml:space="preserve">.  </w:t>
      </w:r>
      <w:r w:rsidRPr="00CE0AE7">
        <w:rPr>
          <w:rFonts w:cstheme="minorHAnsi"/>
          <w:i/>
          <w:iCs/>
          <w:sz w:val="24"/>
          <w:szCs w:val="24"/>
        </w:rPr>
        <w:t xml:space="preserve">British Journal of Occupational Therapy, 1-8, </w:t>
      </w:r>
      <w:r w:rsidRPr="00CE0AE7">
        <w:rPr>
          <w:rFonts w:cstheme="minorHAnsi"/>
          <w:sz w:val="24"/>
          <w:szCs w:val="24"/>
        </w:rPr>
        <w:t>https://doi.org/10.1177/03080226211067427</w:t>
      </w:r>
    </w:p>
    <w:p w14:paraId="37461676" w14:textId="77777777" w:rsidR="00071073" w:rsidRPr="00CE0AE7" w:rsidRDefault="00071073" w:rsidP="00CE0AE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z w:val="24"/>
          <w:szCs w:val="24"/>
        </w:rPr>
      </w:pPr>
      <w:r w:rsidRPr="00CE0AE7">
        <w:rPr>
          <w:rFonts w:asciiTheme="minorHAnsi" w:hAnsiTheme="minorHAnsi" w:cstheme="minorHAnsi"/>
          <w:sz w:val="24"/>
          <w:szCs w:val="24"/>
        </w:rPr>
        <w:t xml:space="preserve">Brunner, M., Skeat, J., &amp; Morris, M. E. (2008). Outcomes of speech-language pathology following stroke: Investigation of inpatient rehabilitation and rehabilitation in the home programs. </w:t>
      </w:r>
      <w:r w:rsidRPr="00CE0AE7">
        <w:rPr>
          <w:rFonts w:asciiTheme="minorHAnsi" w:hAnsiTheme="minorHAnsi" w:cstheme="minorHAnsi"/>
          <w:i/>
          <w:iCs/>
          <w:sz w:val="24"/>
          <w:szCs w:val="24"/>
        </w:rPr>
        <w:t>International journal of speech-language pathology</w:t>
      </w:r>
      <w:r w:rsidRPr="00CE0AE7">
        <w:rPr>
          <w:rFonts w:asciiTheme="minorHAnsi" w:hAnsiTheme="minorHAnsi" w:cstheme="minorHAnsi"/>
          <w:sz w:val="24"/>
          <w:szCs w:val="24"/>
        </w:rPr>
        <w:t xml:space="preserve">, </w:t>
      </w:r>
      <w:r w:rsidRPr="00CE0AE7">
        <w:rPr>
          <w:rFonts w:asciiTheme="minorHAnsi" w:hAnsiTheme="minorHAnsi" w:cstheme="minorHAnsi"/>
          <w:i/>
          <w:iCs/>
          <w:sz w:val="24"/>
          <w:szCs w:val="24"/>
        </w:rPr>
        <w:t>10</w:t>
      </w:r>
      <w:r w:rsidRPr="00CE0AE7">
        <w:rPr>
          <w:rFonts w:asciiTheme="minorHAnsi" w:hAnsiTheme="minorHAnsi" w:cstheme="minorHAnsi"/>
          <w:sz w:val="24"/>
          <w:szCs w:val="24"/>
        </w:rPr>
        <w:t>(5), 305-313.</w:t>
      </w:r>
    </w:p>
    <w:p w14:paraId="16D88BF4" w14:textId="77777777" w:rsidR="00071073" w:rsidRPr="00CE0AE7" w:rsidRDefault="00071073" w:rsidP="00CE0AE7">
      <w:pPr>
        <w:autoSpaceDE w:val="0"/>
        <w:autoSpaceDN w:val="0"/>
        <w:adjustRightInd w:val="0"/>
        <w:spacing w:after="0"/>
        <w:ind w:left="567" w:hanging="567"/>
        <w:rPr>
          <w:rFonts w:cstheme="minorHAnsi"/>
          <w:sz w:val="24"/>
          <w:szCs w:val="24"/>
          <w:lang w:eastAsia="zh-CN"/>
        </w:rPr>
      </w:pPr>
      <w:r w:rsidRPr="00CE0AE7">
        <w:rPr>
          <w:rFonts w:cstheme="minorHAnsi"/>
          <w:sz w:val="24"/>
          <w:szCs w:val="24"/>
        </w:rPr>
        <w:t xml:space="preserve">Chen, Z., &amp; Eng, J.Y. (2015).  </w:t>
      </w:r>
      <w:r w:rsidRPr="00CE0AE7">
        <w:rPr>
          <w:rFonts w:cstheme="minorHAnsi"/>
          <w:sz w:val="24"/>
          <w:szCs w:val="24"/>
          <w:lang w:eastAsia="zh-CN"/>
        </w:rPr>
        <w:t>Use of the Australian Therapy Outcome Measures for Occupational Therapy (AusTOMs-OT) in an early supported discharge programme for stroke patients in Singapore</w:t>
      </w:r>
      <w:r w:rsidRPr="00CE0AE7">
        <w:rPr>
          <w:rFonts w:cstheme="minorHAnsi"/>
          <w:sz w:val="24"/>
          <w:szCs w:val="24"/>
        </w:rPr>
        <w:t>.</w:t>
      </w:r>
      <w:r w:rsidRPr="00CE0AE7">
        <w:rPr>
          <w:rFonts w:cstheme="minorHAnsi"/>
          <w:i/>
          <w:sz w:val="24"/>
          <w:szCs w:val="24"/>
        </w:rPr>
        <w:t xml:space="preserve"> British Journal of Occupational Therapy,78(9</w:t>
      </w:r>
      <w:r w:rsidRPr="00CE0AE7">
        <w:rPr>
          <w:rFonts w:cstheme="minorHAnsi"/>
          <w:sz w:val="24"/>
          <w:szCs w:val="24"/>
        </w:rPr>
        <w:t>), 570-575.</w:t>
      </w:r>
    </w:p>
    <w:p w14:paraId="0C7DD660" w14:textId="77777777" w:rsidR="00071073" w:rsidRPr="00CE0AE7" w:rsidRDefault="00071073" w:rsidP="00CE0AE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z w:val="24"/>
          <w:szCs w:val="24"/>
        </w:rPr>
      </w:pPr>
      <w:r w:rsidRPr="00CE0AE7">
        <w:rPr>
          <w:rFonts w:asciiTheme="minorHAnsi" w:hAnsiTheme="minorHAnsi" w:cstheme="minorHAnsi"/>
          <w:sz w:val="24"/>
          <w:szCs w:val="24"/>
        </w:rPr>
        <w:t xml:space="preserve">Cheung, W., Clayton, N., Tan, J., </w:t>
      </w:r>
      <w:proofErr w:type="spellStart"/>
      <w:r w:rsidRPr="00CE0AE7">
        <w:rPr>
          <w:rFonts w:asciiTheme="minorHAnsi" w:hAnsiTheme="minorHAnsi" w:cstheme="minorHAnsi"/>
          <w:sz w:val="24"/>
          <w:szCs w:val="24"/>
        </w:rPr>
        <w:t>Milliss</w:t>
      </w:r>
      <w:proofErr w:type="spellEnd"/>
      <w:r w:rsidRPr="00CE0AE7">
        <w:rPr>
          <w:rFonts w:asciiTheme="minorHAnsi" w:hAnsiTheme="minorHAnsi" w:cstheme="minorHAnsi"/>
          <w:sz w:val="24"/>
          <w:szCs w:val="24"/>
        </w:rPr>
        <w:t xml:space="preserve">, D., </w:t>
      </w:r>
      <w:proofErr w:type="spellStart"/>
      <w:r w:rsidRPr="00CE0AE7">
        <w:rPr>
          <w:rFonts w:asciiTheme="minorHAnsi" w:hAnsiTheme="minorHAnsi" w:cstheme="minorHAnsi"/>
          <w:sz w:val="24"/>
          <w:szCs w:val="24"/>
        </w:rPr>
        <w:t>Thanakrishnan</w:t>
      </w:r>
      <w:proofErr w:type="spellEnd"/>
      <w:r w:rsidRPr="00CE0AE7">
        <w:rPr>
          <w:rFonts w:asciiTheme="minorHAnsi" w:hAnsiTheme="minorHAnsi" w:cstheme="minorHAnsi"/>
          <w:sz w:val="24"/>
          <w:szCs w:val="24"/>
        </w:rPr>
        <w:t>, G., Maitz, P. (2013). The effect of endotracheal tube size on voice and swallowing function in patients with thermal burn injury: An evaluation using the Australian Therapy Outcome Measures (</w:t>
      </w:r>
      <w:proofErr w:type="spellStart"/>
      <w:r w:rsidRPr="00CE0AE7">
        <w:rPr>
          <w:rFonts w:asciiTheme="minorHAnsi" w:hAnsiTheme="minorHAnsi" w:cstheme="minorHAnsi"/>
          <w:sz w:val="24"/>
          <w:szCs w:val="24"/>
        </w:rPr>
        <w:t>AusTOMS</w:t>
      </w:r>
      <w:proofErr w:type="spellEnd"/>
      <w:r w:rsidRPr="00CE0AE7">
        <w:rPr>
          <w:rFonts w:asciiTheme="minorHAnsi" w:hAnsiTheme="minorHAnsi" w:cstheme="minorHAnsi"/>
          <w:sz w:val="24"/>
          <w:szCs w:val="24"/>
        </w:rPr>
        <w:t xml:space="preserve">). </w:t>
      </w:r>
      <w:r w:rsidRPr="00CE0AE7">
        <w:rPr>
          <w:rFonts w:asciiTheme="minorHAnsi" w:hAnsiTheme="minorHAnsi" w:cstheme="minorHAnsi"/>
          <w:i/>
          <w:sz w:val="24"/>
          <w:szCs w:val="24"/>
        </w:rPr>
        <w:t>International Journal of Speech-Language Pathology</w:t>
      </w:r>
      <w:r w:rsidRPr="00CE0AE7">
        <w:rPr>
          <w:rFonts w:asciiTheme="minorHAnsi" w:hAnsiTheme="minorHAnsi" w:cstheme="minorHAnsi"/>
          <w:sz w:val="24"/>
          <w:szCs w:val="24"/>
        </w:rPr>
        <w:t xml:space="preserve">, 15, 216-220. </w:t>
      </w:r>
    </w:p>
    <w:p w14:paraId="7CCA1329" w14:textId="77777777" w:rsidR="00BD6AB7" w:rsidRPr="00BD6AB7" w:rsidRDefault="00991450" w:rsidP="00BD6AB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Cross, A., Raaj, S., &amp; Krishna</w:t>
      </w:r>
      <w:r w:rsidR="00BD6AB7">
        <w:rPr>
          <w:rFonts w:asciiTheme="minorHAnsi" w:hAnsiTheme="minorHAnsi" w:cstheme="minorHAnsi"/>
          <w:sz w:val="24"/>
          <w:szCs w:val="24"/>
        </w:rPr>
        <w:t>moorthy, B</w:t>
      </w:r>
      <w:r w:rsidRPr="00CE0AE7">
        <w:rPr>
          <w:rFonts w:asciiTheme="minorHAnsi" w:hAnsiTheme="minorHAnsi" w:cstheme="minorHAnsi"/>
          <w:sz w:val="24"/>
          <w:szCs w:val="24"/>
        </w:rPr>
        <w:t>. (20</w:t>
      </w:r>
      <w:r w:rsidR="00BD6AB7">
        <w:rPr>
          <w:rFonts w:asciiTheme="minorHAnsi" w:hAnsiTheme="minorHAnsi" w:cstheme="minorHAnsi"/>
          <w:sz w:val="24"/>
          <w:szCs w:val="24"/>
        </w:rPr>
        <w:t>25</w:t>
      </w:r>
      <w:r w:rsidRPr="00CE0AE7">
        <w:rPr>
          <w:rFonts w:asciiTheme="minorHAnsi" w:hAnsiTheme="minorHAnsi" w:cstheme="minorHAnsi"/>
          <w:sz w:val="24"/>
          <w:szCs w:val="24"/>
        </w:rPr>
        <w:t xml:space="preserve">). </w:t>
      </w:r>
      <w:r w:rsidR="00BD6AB7" w:rsidRPr="00BD6AB7">
        <w:rPr>
          <w:rFonts w:asciiTheme="minorHAnsi" w:hAnsiTheme="minorHAnsi" w:cstheme="minorHAnsi"/>
          <w:sz w:val="24"/>
          <w:szCs w:val="24"/>
        </w:rPr>
        <w:t xml:space="preserve">Use of Therapy Outcome Measures (TOMs) and Australian Therapy Outcome Measures (AusTOMs) in community physiotherapy and community occupational therapy services: a scoping review, Disability and Rehabilitation, 47:14, 3507-3515, DOI: 10.1080/09638288.2024.2433638 </w:t>
      </w:r>
    </w:p>
    <w:p w14:paraId="5BB23354" w14:textId="2B76849C" w:rsidR="00071073" w:rsidRPr="00BD6AB7" w:rsidRDefault="00071073" w:rsidP="00BD6AB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i/>
          <w:iCs/>
          <w:sz w:val="24"/>
          <w:szCs w:val="24"/>
          <w:lang w:eastAsia="en-AU"/>
        </w:rPr>
      </w:pPr>
      <w:proofErr w:type="spellStart"/>
      <w:r w:rsidRPr="00BD6AB7">
        <w:rPr>
          <w:rFonts w:asciiTheme="minorHAnsi" w:hAnsiTheme="minorHAnsi" w:cstheme="minorHAnsi"/>
          <w:sz w:val="24"/>
          <w:szCs w:val="24"/>
          <w:lang w:eastAsia="en-AU"/>
        </w:rPr>
        <w:t>Fristedt</w:t>
      </w:r>
      <w:proofErr w:type="spellEnd"/>
      <w:r w:rsidRPr="00BD6AB7">
        <w:rPr>
          <w:rFonts w:asciiTheme="minorHAnsi" w:hAnsiTheme="minorHAnsi" w:cstheme="minorHAnsi"/>
          <w:sz w:val="24"/>
          <w:szCs w:val="24"/>
          <w:lang w:eastAsia="en-AU"/>
        </w:rPr>
        <w:t xml:space="preserve">, S., </w:t>
      </w:r>
      <w:proofErr w:type="spellStart"/>
      <w:r w:rsidRPr="00BD6AB7">
        <w:rPr>
          <w:rFonts w:asciiTheme="minorHAnsi" w:hAnsiTheme="minorHAnsi" w:cstheme="minorHAnsi"/>
          <w:sz w:val="24"/>
          <w:szCs w:val="24"/>
          <w:lang w:eastAsia="en-AU"/>
        </w:rPr>
        <w:t>Elgmark</w:t>
      </w:r>
      <w:proofErr w:type="spellEnd"/>
      <w:r w:rsidRPr="00BD6AB7">
        <w:rPr>
          <w:rFonts w:asciiTheme="minorHAnsi" w:hAnsiTheme="minorHAnsi" w:cstheme="minorHAnsi"/>
          <w:sz w:val="24"/>
          <w:szCs w:val="24"/>
          <w:lang w:eastAsia="en-AU"/>
        </w:rPr>
        <w:t xml:space="preserve">, E. &amp; Unsworth, C.A. (2013). The inter-rater and test-retest reliability of the Self-care and Transfer scales and intra-rater reliability of all scales of the Swedish translation of the Australian Therapy Outcome Measures for Occupational Therapy (AusTOMs-OT-S). </w:t>
      </w:r>
      <w:r w:rsidRPr="00BD6AB7">
        <w:rPr>
          <w:rFonts w:asciiTheme="minorHAnsi" w:hAnsiTheme="minorHAnsi" w:cstheme="minorHAnsi"/>
          <w:i/>
          <w:iCs/>
          <w:sz w:val="24"/>
          <w:szCs w:val="24"/>
          <w:lang w:eastAsia="en-AU"/>
        </w:rPr>
        <w:t>Scandinavian Journal of Occupational Therapy, 20, 182- 189.</w:t>
      </w:r>
      <w:r w:rsidRPr="00BD6AB7">
        <w:rPr>
          <w:rFonts w:asciiTheme="minorHAnsi" w:hAnsiTheme="minorHAnsi" w:cstheme="minorHAnsi"/>
          <w:color w:val="000000"/>
          <w:sz w:val="24"/>
          <w:szCs w:val="24"/>
        </w:rPr>
        <w:t xml:space="preserve">  </w:t>
      </w:r>
    </w:p>
    <w:p w14:paraId="5E67FF4C" w14:textId="77777777" w:rsidR="00071073" w:rsidRPr="00CE0AE7" w:rsidRDefault="00071073" w:rsidP="00CE0AE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z w:val="24"/>
          <w:szCs w:val="24"/>
        </w:rPr>
      </w:pPr>
      <w:proofErr w:type="spellStart"/>
      <w:r w:rsidRPr="00BD6AB7">
        <w:rPr>
          <w:rFonts w:asciiTheme="minorHAnsi" w:hAnsiTheme="minorHAnsi" w:cstheme="minorHAnsi"/>
          <w:sz w:val="24"/>
          <w:szCs w:val="24"/>
        </w:rPr>
        <w:t>Frowen</w:t>
      </w:r>
      <w:proofErr w:type="spellEnd"/>
      <w:r w:rsidRPr="00BD6AB7">
        <w:rPr>
          <w:rFonts w:asciiTheme="minorHAnsi" w:hAnsiTheme="minorHAnsi" w:cstheme="minorHAnsi"/>
          <w:sz w:val="24"/>
          <w:szCs w:val="24"/>
        </w:rPr>
        <w:t xml:space="preserve">, J., Cotton, S., Corry, J., &amp; Perry, A. (2010). Impact of demographics, </w:t>
      </w:r>
      <w:proofErr w:type="spellStart"/>
      <w:r w:rsidRPr="00BD6AB7">
        <w:rPr>
          <w:rFonts w:asciiTheme="minorHAnsi" w:hAnsiTheme="minorHAnsi" w:cstheme="minorHAnsi"/>
          <w:sz w:val="24"/>
          <w:szCs w:val="24"/>
        </w:rPr>
        <w:t>tumor</w:t>
      </w:r>
      <w:proofErr w:type="spellEnd"/>
      <w:r w:rsidRPr="00BD6AB7">
        <w:rPr>
          <w:rFonts w:asciiTheme="minorHAnsi" w:hAnsiTheme="minorHAnsi" w:cstheme="minorHAnsi"/>
          <w:sz w:val="24"/>
          <w:szCs w:val="24"/>
        </w:rPr>
        <w:t xml:space="preserve"> characteristics, and treatment factors on swallowing after (chemo</w:t>
      </w:r>
      <w:r w:rsidRPr="00CE0AE7">
        <w:rPr>
          <w:rFonts w:asciiTheme="minorHAnsi" w:hAnsiTheme="minorHAnsi" w:cstheme="minorHAnsi"/>
          <w:sz w:val="24"/>
          <w:szCs w:val="24"/>
        </w:rPr>
        <w:t xml:space="preserve">) radiotherapy for head and neck cancer. </w:t>
      </w:r>
      <w:r w:rsidRPr="00CE0AE7">
        <w:rPr>
          <w:rFonts w:asciiTheme="minorHAnsi" w:hAnsiTheme="minorHAnsi" w:cstheme="minorHAnsi"/>
          <w:i/>
          <w:iCs/>
          <w:sz w:val="24"/>
          <w:szCs w:val="24"/>
        </w:rPr>
        <w:t>Head &amp; neck</w:t>
      </w:r>
      <w:r w:rsidRPr="00CE0AE7">
        <w:rPr>
          <w:rFonts w:asciiTheme="minorHAnsi" w:hAnsiTheme="minorHAnsi" w:cstheme="minorHAnsi"/>
          <w:sz w:val="24"/>
          <w:szCs w:val="24"/>
        </w:rPr>
        <w:t xml:space="preserve">, </w:t>
      </w:r>
      <w:r w:rsidRPr="00CE0AE7">
        <w:rPr>
          <w:rFonts w:asciiTheme="minorHAnsi" w:hAnsiTheme="minorHAnsi" w:cstheme="minorHAnsi"/>
          <w:i/>
          <w:iCs/>
          <w:sz w:val="24"/>
          <w:szCs w:val="24"/>
        </w:rPr>
        <w:t>32</w:t>
      </w:r>
      <w:r w:rsidRPr="00CE0AE7">
        <w:rPr>
          <w:rFonts w:asciiTheme="minorHAnsi" w:hAnsiTheme="minorHAnsi" w:cstheme="minorHAnsi"/>
          <w:sz w:val="24"/>
          <w:szCs w:val="24"/>
        </w:rPr>
        <w:t>(4), 513-528.</w:t>
      </w:r>
    </w:p>
    <w:p w14:paraId="56B9E205" w14:textId="77777777" w:rsidR="00071073" w:rsidRPr="00CE0AE7" w:rsidRDefault="00071073" w:rsidP="00CE0AE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z w:val="24"/>
          <w:szCs w:val="24"/>
        </w:rPr>
      </w:pPr>
      <w:proofErr w:type="spellStart"/>
      <w:r w:rsidRPr="00CE0AE7">
        <w:rPr>
          <w:rFonts w:asciiTheme="minorHAnsi" w:hAnsiTheme="minorHAnsi" w:cstheme="minorHAnsi"/>
          <w:sz w:val="24"/>
          <w:szCs w:val="24"/>
        </w:rPr>
        <w:t>Frowen</w:t>
      </w:r>
      <w:proofErr w:type="spellEnd"/>
      <w:r w:rsidRPr="00CE0AE7">
        <w:rPr>
          <w:rFonts w:asciiTheme="minorHAnsi" w:hAnsiTheme="minorHAnsi" w:cstheme="minorHAnsi"/>
          <w:sz w:val="24"/>
          <w:szCs w:val="24"/>
        </w:rPr>
        <w:t xml:space="preserve">, J., Hornby, C., Collins, M., </w:t>
      </w:r>
      <w:proofErr w:type="spellStart"/>
      <w:r w:rsidRPr="00CE0AE7">
        <w:rPr>
          <w:rFonts w:asciiTheme="minorHAnsi" w:hAnsiTheme="minorHAnsi" w:cstheme="minorHAnsi"/>
          <w:sz w:val="24"/>
          <w:szCs w:val="24"/>
        </w:rPr>
        <w:t>Senthi</w:t>
      </w:r>
      <w:proofErr w:type="spellEnd"/>
      <w:r w:rsidRPr="00CE0AE7">
        <w:rPr>
          <w:rFonts w:asciiTheme="minorHAnsi" w:hAnsiTheme="minorHAnsi" w:cstheme="minorHAnsi"/>
          <w:sz w:val="24"/>
          <w:szCs w:val="24"/>
        </w:rPr>
        <w:t xml:space="preserve">, S., </w:t>
      </w:r>
      <w:proofErr w:type="spellStart"/>
      <w:r w:rsidRPr="00CE0AE7">
        <w:rPr>
          <w:rFonts w:asciiTheme="minorHAnsi" w:hAnsiTheme="minorHAnsi" w:cstheme="minorHAnsi"/>
          <w:sz w:val="24"/>
          <w:szCs w:val="24"/>
        </w:rPr>
        <w:t>Cassumbhoy</w:t>
      </w:r>
      <w:proofErr w:type="spellEnd"/>
      <w:r w:rsidRPr="00CE0AE7">
        <w:rPr>
          <w:rFonts w:asciiTheme="minorHAnsi" w:hAnsiTheme="minorHAnsi" w:cstheme="minorHAnsi"/>
          <w:sz w:val="24"/>
          <w:szCs w:val="24"/>
        </w:rPr>
        <w:t xml:space="preserve">, R., and Corry, J. (2013) Reducing posttreatment dysphagia: Support for the relationship between radiation dose to the pharyngeal constrictors and swallowing outcomes. </w:t>
      </w:r>
      <w:r w:rsidRPr="00CE0AE7">
        <w:rPr>
          <w:rFonts w:asciiTheme="minorHAnsi" w:hAnsiTheme="minorHAnsi" w:cstheme="minorHAnsi"/>
          <w:i/>
          <w:sz w:val="24"/>
          <w:szCs w:val="24"/>
        </w:rPr>
        <w:t>Practical Radiation Oncology</w:t>
      </w:r>
      <w:r w:rsidRPr="00CE0AE7">
        <w:rPr>
          <w:rFonts w:asciiTheme="minorHAnsi" w:hAnsiTheme="minorHAnsi" w:cstheme="minorHAnsi"/>
          <w:sz w:val="24"/>
          <w:szCs w:val="24"/>
        </w:rPr>
        <w:t xml:space="preserve"> [online before print publication] </w:t>
      </w:r>
      <w:hyperlink r:id="rId7" w:tgtFrame="_blank" w:history="1">
        <w:r w:rsidRPr="00CE0AE7">
          <w:rPr>
            <w:rStyle w:val="Hyperlink"/>
            <w:rFonts w:asciiTheme="minorHAnsi" w:hAnsiTheme="minorHAnsi" w:cstheme="minorHAnsi"/>
            <w:sz w:val="24"/>
            <w:szCs w:val="24"/>
          </w:rPr>
          <w:t>http://dx.doi.org/10.1016/j.prro.2012.11.009</w:t>
        </w:r>
      </w:hyperlink>
    </w:p>
    <w:p w14:paraId="3420CABC" w14:textId="77777777" w:rsidR="00071073" w:rsidRPr="00CE0AE7" w:rsidRDefault="00071073" w:rsidP="00CE0AE7">
      <w:pPr>
        <w:pStyle w:val="BodyTextIndent2"/>
        <w:spacing w:after="0" w:line="276" w:lineRule="auto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t xml:space="preserve">Livesey, C., &amp; Crosbie, V (2016).  Outcome measure feature: Say it, do it, show it, prove it.  </w:t>
      </w:r>
      <w:proofErr w:type="spellStart"/>
      <w:r w:rsidRPr="00CE0AE7">
        <w:rPr>
          <w:rFonts w:cstheme="minorHAnsi"/>
          <w:i/>
          <w:sz w:val="24"/>
          <w:szCs w:val="24"/>
        </w:rPr>
        <w:t>OTnews</w:t>
      </w:r>
      <w:proofErr w:type="spellEnd"/>
      <w:r w:rsidRPr="00CE0AE7">
        <w:rPr>
          <w:rFonts w:cstheme="minorHAnsi"/>
          <w:i/>
          <w:sz w:val="24"/>
          <w:szCs w:val="24"/>
        </w:rPr>
        <w:t>, 24</w:t>
      </w:r>
      <w:r w:rsidRPr="00CE0AE7">
        <w:rPr>
          <w:rFonts w:cstheme="minorHAnsi"/>
          <w:sz w:val="24"/>
          <w:szCs w:val="24"/>
        </w:rPr>
        <w:t xml:space="preserve"> (12), 26-27. </w:t>
      </w:r>
    </w:p>
    <w:p w14:paraId="690E5DDE" w14:textId="77777777" w:rsidR="00071073" w:rsidRPr="00CE0AE7" w:rsidRDefault="00071073" w:rsidP="00CE0AE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z w:val="24"/>
          <w:szCs w:val="24"/>
        </w:rPr>
      </w:pPr>
      <w:r w:rsidRPr="00CE0AE7">
        <w:rPr>
          <w:rFonts w:asciiTheme="minorHAnsi" w:hAnsiTheme="minorHAnsi" w:cstheme="minorHAnsi"/>
          <w:sz w:val="24"/>
          <w:szCs w:val="24"/>
        </w:rPr>
        <w:t xml:space="preserve">Maclean, J., Szczesniak, M., Cotton, S., Cook, I., &amp; Perry, A. (2011). Impact of a laryngectomy and surgical closure technique on swallow biomechanics and dysphagia severity. </w:t>
      </w:r>
      <w:r w:rsidRPr="00CE0AE7">
        <w:rPr>
          <w:rFonts w:asciiTheme="minorHAnsi" w:hAnsiTheme="minorHAnsi" w:cstheme="minorHAnsi"/>
          <w:i/>
          <w:iCs/>
          <w:sz w:val="24"/>
          <w:szCs w:val="24"/>
        </w:rPr>
        <w:t>Otolaryngology--Head and Neck Surgery</w:t>
      </w:r>
      <w:r w:rsidRPr="00CE0AE7">
        <w:rPr>
          <w:rFonts w:asciiTheme="minorHAnsi" w:hAnsiTheme="minorHAnsi" w:cstheme="minorHAnsi"/>
          <w:sz w:val="24"/>
          <w:szCs w:val="24"/>
        </w:rPr>
        <w:t xml:space="preserve">, </w:t>
      </w:r>
      <w:r w:rsidRPr="00CE0AE7">
        <w:rPr>
          <w:rFonts w:asciiTheme="minorHAnsi" w:hAnsiTheme="minorHAnsi" w:cstheme="minorHAnsi"/>
          <w:i/>
          <w:iCs/>
          <w:sz w:val="24"/>
          <w:szCs w:val="24"/>
        </w:rPr>
        <w:t>144</w:t>
      </w:r>
      <w:r w:rsidRPr="00CE0AE7">
        <w:rPr>
          <w:rFonts w:asciiTheme="minorHAnsi" w:hAnsiTheme="minorHAnsi" w:cstheme="minorHAnsi"/>
          <w:sz w:val="24"/>
          <w:szCs w:val="24"/>
        </w:rPr>
        <w:t>(1), 21-28.</w:t>
      </w:r>
    </w:p>
    <w:p w14:paraId="67340A1A" w14:textId="77777777" w:rsidR="00071073" w:rsidRPr="00CE0AE7" w:rsidRDefault="00071073" w:rsidP="00CE0AE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z w:val="24"/>
          <w:szCs w:val="24"/>
        </w:rPr>
      </w:pPr>
      <w:r w:rsidRPr="00CE0AE7">
        <w:rPr>
          <w:rFonts w:asciiTheme="minorHAnsi" w:hAnsiTheme="minorHAnsi" w:cstheme="minorHAnsi"/>
          <w:sz w:val="24"/>
          <w:szCs w:val="24"/>
        </w:rPr>
        <w:t xml:space="preserve">McLeod, S., Harrison, L. J., McAllister, L., &amp; McCormack, J. (2013). Speech sound disorders in a community study of preschool children. </w:t>
      </w:r>
      <w:r w:rsidRPr="00CE0AE7">
        <w:rPr>
          <w:rFonts w:asciiTheme="minorHAnsi" w:hAnsiTheme="minorHAnsi" w:cstheme="minorHAnsi"/>
          <w:i/>
          <w:iCs/>
          <w:sz w:val="24"/>
          <w:szCs w:val="24"/>
        </w:rPr>
        <w:t>American Journal of Speech-Language Pathology</w:t>
      </w:r>
      <w:r w:rsidRPr="00CE0AE7">
        <w:rPr>
          <w:rFonts w:asciiTheme="minorHAnsi" w:hAnsiTheme="minorHAnsi" w:cstheme="minorHAnsi"/>
          <w:sz w:val="24"/>
          <w:szCs w:val="24"/>
        </w:rPr>
        <w:t xml:space="preserve">, </w:t>
      </w:r>
      <w:r w:rsidRPr="00CE0AE7">
        <w:rPr>
          <w:rFonts w:asciiTheme="minorHAnsi" w:hAnsiTheme="minorHAnsi" w:cstheme="minorHAnsi"/>
          <w:i/>
          <w:iCs/>
          <w:sz w:val="24"/>
          <w:szCs w:val="24"/>
        </w:rPr>
        <w:t>22</w:t>
      </w:r>
      <w:r w:rsidRPr="00CE0AE7">
        <w:rPr>
          <w:rFonts w:asciiTheme="minorHAnsi" w:hAnsiTheme="minorHAnsi" w:cstheme="minorHAnsi"/>
          <w:sz w:val="24"/>
          <w:szCs w:val="24"/>
        </w:rPr>
        <w:t>(3), 503.</w:t>
      </w:r>
    </w:p>
    <w:p w14:paraId="52747C55" w14:textId="77777777" w:rsidR="00071073" w:rsidRPr="00CE0AE7" w:rsidRDefault="00071073" w:rsidP="00CE0AE7">
      <w:pPr>
        <w:pStyle w:val="BodyTextIndent2"/>
        <w:spacing w:after="0" w:line="276" w:lineRule="auto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lastRenderedPageBreak/>
        <w:t xml:space="preserve">Morris, M., Perry, A., Unsworth, C., Skeat, J., Taylor, N., Dodd, K., Duncombe., D., &amp; Duckett, S. (2005).  Reliability of the Australian Therapy Outcome Measures for quantifying disability and health. </w:t>
      </w:r>
      <w:r w:rsidRPr="00CE0AE7">
        <w:rPr>
          <w:rFonts w:cstheme="minorHAnsi"/>
          <w:i/>
          <w:sz w:val="24"/>
          <w:szCs w:val="24"/>
        </w:rPr>
        <w:t xml:space="preserve">International Journal of Therapy and Rehabilitation, </w:t>
      </w:r>
      <w:r w:rsidRPr="00CE0AE7">
        <w:rPr>
          <w:rFonts w:cstheme="minorHAnsi"/>
          <w:sz w:val="24"/>
          <w:szCs w:val="24"/>
        </w:rPr>
        <w:t>12(8), 340-346.</w:t>
      </w:r>
    </w:p>
    <w:p w14:paraId="02CA26B9" w14:textId="77777777" w:rsidR="00071073" w:rsidRPr="00CE0AE7" w:rsidRDefault="00071073" w:rsidP="00CE0AE7">
      <w:pPr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t>Morris, M.E., Dodd, K.J. &amp; Taylor, N.F</w:t>
      </w:r>
      <w:proofErr w:type="gramStart"/>
      <w:r w:rsidRPr="00CE0AE7">
        <w:rPr>
          <w:rFonts w:cstheme="minorHAnsi"/>
          <w:sz w:val="24"/>
          <w:szCs w:val="24"/>
        </w:rPr>
        <w:t>,  (</w:t>
      </w:r>
      <w:proofErr w:type="gramEnd"/>
      <w:r w:rsidRPr="00CE0AE7">
        <w:rPr>
          <w:rFonts w:cstheme="minorHAnsi"/>
          <w:sz w:val="24"/>
          <w:szCs w:val="24"/>
        </w:rPr>
        <w:t xml:space="preserve">2004). </w:t>
      </w:r>
      <w:r w:rsidRPr="00CE0AE7">
        <w:rPr>
          <w:rFonts w:cstheme="minorHAnsi"/>
          <w:i/>
          <w:sz w:val="24"/>
          <w:szCs w:val="24"/>
        </w:rPr>
        <w:t>AusTOMs for Physiotherapy.</w:t>
      </w:r>
      <w:r w:rsidRPr="00CE0AE7">
        <w:rPr>
          <w:rFonts w:cstheme="minorHAnsi"/>
          <w:sz w:val="24"/>
          <w:szCs w:val="24"/>
        </w:rPr>
        <w:t xml:space="preserve"> La Trobe University, Melbourne. ISBN 1-920948-54-6.</w:t>
      </w:r>
    </w:p>
    <w:p w14:paraId="203C433A" w14:textId="77777777" w:rsidR="00071073" w:rsidRPr="00CE0AE7" w:rsidRDefault="00071073" w:rsidP="00CE0AE7">
      <w:pPr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t>Morris, M.E., Dodd, K.J. &amp; Taylor, N.F</w:t>
      </w:r>
      <w:proofErr w:type="gramStart"/>
      <w:r w:rsidRPr="00CE0AE7">
        <w:rPr>
          <w:rFonts w:cstheme="minorHAnsi"/>
          <w:sz w:val="24"/>
          <w:szCs w:val="24"/>
        </w:rPr>
        <w:t>,  (</w:t>
      </w:r>
      <w:proofErr w:type="gramEnd"/>
      <w:r w:rsidRPr="00CE0AE7">
        <w:rPr>
          <w:rFonts w:cstheme="minorHAnsi"/>
          <w:sz w:val="24"/>
          <w:szCs w:val="24"/>
        </w:rPr>
        <w:t xml:space="preserve">2014). </w:t>
      </w:r>
      <w:r w:rsidRPr="00CE0AE7">
        <w:rPr>
          <w:rFonts w:cstheme="minorHAnsi"/>
          <w:i/>
          <w:sz w:val="24"/>
          <w:szCs w:val="24"/>
        </w:rPr>
        <w:t>AusTOMs for Physiotherapy.</w:t>
      </w:r>
      <w:r w:rsidRPr="00CE0AE7">
        <w:rPr>
          <w:rFonts w:cstheme="minorHAnsi"/>
          <w:sz w:val="24"/>
          <w:szCs w:val="24"/>
        </w:rPr>
        <w:t xml:space="preserve"> (2</w:t>
      </w:r>
      <w:r w:rsidRPr="00CE0AE7">
        <w:rPr>
          <w:rFonts w:cstheme="minorHAnsi"/>
          <w:sz w:val="24"/>
          <w:szCs w:val="24"/>
          <w:vertAlign w:val="superscript"/>
        </w:rPr>
        <w:t>nd</w:t>
      </w:r>
      <w:r w:rsidRPr="00CE0AE7">
        <w:rPr>
          <w:rFonts w:cstheme="minorHAnsi"/>
          <w:sz w:val="24"/>
          <w:szCs w:val="24"/>
        </w:rPr>
        <w:t xml:space="preserve"> ed), La Trobe University, Melbourne. ISBN 9781921915352.</w:t>
      </w:r>
    </w:p>
    <w:p w14:paraId="42EBCE81" w14:textId="77777777" w:rsidR="00071073" w:rsidRPr="00CE0AE7" w:rsidRDefault="00071073" w:rsidP="00CE0AE7">
      <w:pPr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t xml:space="preserve">Perry, A., </w:t>
      </w:r>
      <w:proofErr w:type="gramStart"/>
      <w:r w:rsidRPr="00CE0AE7">
        <w:rPr>
          <w:rFonts w:cstheme="minorHAnsi"/>
          <w:sz w:val="24"/>
          <w:szCs w:val="24"/>
        </w:rPr>
        <w:t>&amp;  Skeat</w:t>
      </w:r>
      <w:proofErr w:type="gramEnd"/>
      <w:r w:rsidRPr="00CE0AE7">
        <w:rPr>
          <w:rFonts w:cstheme="minorHAnsi"/>
          <w:sz w:val="24"/>
          <w:szCs w:val="24"/>
        </w:rPr>
        <w:t xml:space="preserve">, J., (2004). </w:t>
      </w:r>
      <w:r w:rsidRPr="00CE0AE7">
        <w:rPr>
          <w:rFonts w:cstheme="minorHAnsi"/>
          <w:i/>
          <w:sz w:val="24"/>
          <w:szCs w:val="24"/>
        </w:rPr>
        <w:t>AusTOMs for Speech Pathology.</w:t>
      </w:r>
      <w:r w:rsidRPr="00CE0AE7">
        <w:rPr>
          <w:rFonts w:cstheme="minorHAnsi"/>
          <w:sz w:val="24"/>
          <w:szCs w:val="24"/>
        </w:rPr>
        <w:t xml:space="preserve"> La Trobe University, Melbourne. ISBN 1-920948-54-6.</w:t>
      </w:r>
    </w:p>
    <w:p w14:paraId="6B5E11D0" w14:textId="77777777" w:rsidR="00071073" w:rsidRPr="00CE0AE7" w:rsidRDefault="00071073" w:rsidP="00CE0AE7">
      <w:pPr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t xml:space="preserve">Perry, A., </w:t>
      </w:r>
      <w:proofErr w:type="gramStart"/>
      <w:r w:rsidRPr="00CE0AE7">
        <w:rPr>
          <w:rFonts w:cstheme="minorHAnsi"/>
          <w:sz w:val="24"/>
          <w:szCs w:val="24"/>
        </w:rPr>
        <w:t>&amp;  Skeat</w:t>
      </w:r>
      <w:proofErr w:type="gramEnd"/>
      <w:r w:rsidRPr="00CE0AE7">
        <w:rPr>
          <w:rFonts w:cstheme="minorHAnsi"/>
          <w:sz w:val="24"/>
          <w:szCs w:val="24"/>
        </w:rPr>
        <w:t xml:space="preserve">, J., (2014). </w:t>
      </w:r>
      <w:r w:rsidRPr="00CE0AE7">
        <w:rPr>
          <w:rFonts w:cstheme="minorHAnsi"/>
          <w:i/>
          <w:sz w:val="24"/>
          <w:szCs w:val="24"/>
        </w:rPr>
        <w:t>AusTOMs for Speech Pathology.</w:t>
      </w:r>
      <w:r w:rsidRPr="00CE0AE7">
        <w:rPr>
          <w:rFonts w:cstheme="minorHAnsi"/>
          <w:sz w:val="24"/>
          <w:szCs w:val="24"/>
        </w:rPr>
        <w:t xml:space="preserve"> La Trobe University, (2</w:t>
      </w:r>
      <w:r w:rsidRPr="00CE0AE7">
        <w:rPr>
          <w:rFonts w:cstheme="minorHAnsi"/>
          <w:sz w:val="24"/>
          <w:szCs w:val="24"/>
          <w:vertAlign w:val="superscript"/>
        </w:rPr>
        <w:t>nd</w:t>
      </w:r>
      <w:r w:rsidRPr="00CE0AE7">
        <w:rPr>
          <w:rFonts w:cstheme="minorHAnsi"/>
          <w:sz w:val="24"/>
          <w:szCs w:val="24"/>
        </w:rPr>
        <w:t xml:space="preserve"> ed), Melbourne. ISBN 9781921915369</w:t>
      </w:r>
    </w:p>
    <w:p w14:paraId="12DE486F" w14:textId="77777777" w:rsidR="00071073" w:rsidRPr="00CE0AE7" w:rsidRDefault="00071073" w:rsidP="00CE0AE7">
      <w:pPr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t xml:space="preserve">Perry, A., Morris, M., Unsworth, C., Duckett, S., Skeat, J., Dodd, K., Taylor, N. &amp; Riley, K. (2004).  Therapy Outcome Measures for Allied Health Practitioners in Australia: The AusTOMs.  </w:t>
      </w:r>
      <w:r w:rsidRPr="00CE0AE7">
        <w:rPr>
          <w:rFonts w:cstheme="minorHAnsi"/>
          <w:i/>
          <w:sz w:val="24"/>
          <w:szCs w:val="24"/>
        </w:rPr>
        <w:t xml:space="preserve">International Journal for quality in Health Care, 16 (4), </w:t>
      </w:r>
      <w:r w:rsidRPr="00CE0AE7">
        <w:rPr>
          <w:rFonts w:cstheme="minorHAnsi"/>
          <w:sz w:val="24"/>
          <w:szCs w:val="24"/>
        </w:rPr>
        <w:t xml:space="preserve">285- 291. </w:t>
      </w:r>
    </w:p>
    <w:p w14:paraId="62B4351D" w14:textId="3127B6FA" w:rsidR="00071073" w:rsidRPr="00CE0AE7" w:rsidRDefault="00071073" w:rsidP="00CE0AE7">
      <w:pPr>
        <w:pStyle w:val="APAHeading1"/>
        <w:spacing w:line="276" w:lineRule="auto"/>
        <w:ind w:left="567" w:hanging="567"/>
        <w:jc w:val="left"/>
        <w:rPr>
          <w:rFonts w:asciiTheme="minorHAnsi" w:hAnsiTheme="minorHAnsi" w:cstheme="minorHAnsi"/>
          <w:szCs w:val="24"/>
        </w:rPr>
      </w:pPr>
      <w:r w:rsidRPr="00CE0AE7">
        <w:rPr>
          <w:rFonts w:asciiTheme="minorHAnsi" w:hAnsiTheme="minorHAnsi" w:cstheme="minorHAnsi"/>
          <w:szCs w:val="24"/>
        </w:rPr>
        <w:t xml:space="preserve">Scott, F., Unsworth, C.A., Fricke, J., Taylor, N. (2006). Reliability of the Australian Therapy Outcome Measures for Occupational Therapy (AusTOMs – OT) Self-care scale. </w:t>
      </w:r>
      <w:r w:rsidRPr="00CE0AE7">
        <w:rPr>
          <w:rFonts w:asciiTheme="minorHAnsi" w:hAnsiTheme="minorHAnsi" w:cstheme="minorHAnsi"/>
          <w:i/>
          <w:szCs w:val="24"/>
        </w:rPr>
        <w:t xml:space="preserve">Australian Occupational Therapy Journal, 53, </w:t>
      </w:r>
      <w:r w:rsidRPr="00CE0AE7">
        <w:rPr>
          <w:rFonts w:asciiTheme="minorHAnsi" w:hAnsiTheme="minorHAnsi" w:cstheme="minorHAnsi"/>
          <w:szCs w:val="24"/>
        </w:rPr>
        <w:t>265- 276.</w:t>
      </w:r>
    </w:p>
    <w:p w14:paraId="51857435" w14:textId="102735FD" w:rsidR="005D59C7" w:rsidRPr="00CE0AE7" w:rsidRDefault="005D59C7" w:rsidP="00CE0AE7">
      <w:pPr>
        <w:autoSpaceDE w:val="0"/>
        <w:autoSpaceDN w:val="0"/>
        <w:adjustRightInd w:val="0"/>
        <w:spacing w:after="0"/>
        <w:ind w:left="567" w:hanging="567"/>
        <w:rPr>
          <w:rFonts w:cstheme="minorHAnsi"/>
          <w:sz w:val="24"/>
          <w:szCs w:val="24"/>
          <w:lang w:eastAsia="en-AU"/>
        </w:rPr>
      </w:pPr>
      <w:r w:rsidRPr="00CE0AE7">
        <w:rPr>
          <w:rFonts w:cstheme="minorHAnsi"/>
          <w:sz w:val="24"/>
          <w:szCs w:val="24"/>
        </w:rPr>
        <w:t>Smith, H., &amp; Fields, S. (202</w:t>
      </w:r>
      <w:r w:rsidR="00E86141">
        <w:rPr>
          <w:rFonts w:cstheme="minorHAnsi"/>
          <w:sz w:val="24"/>
          <w:szCs w:val="24"/>
        </w:rPr>
        <w:t>0</w:t>
      </w:r>
      <w:r w:rsidRPr="00CE0AE7">
        <w:rPr>
          <w:rFonts w:cstheme="minorHAnsi"/>
          <w:sz w:val="24"/>
          <w:szCs w:val="24"/>
        </w:rPr>
        <w:t xml:space="preserve">).  </w:t>
      </w:r>
      <w:r w:rsidRPr="00CE0AE7">
        <w:rPr>
          <w:rFonts w:cstheme="minorHAnsi"/>
          <w:sz w:val="24"/>
          <w:szCs w:val="24"/>
          <w:lang w:eastAsia="en-AU"/>
        </w:rPr>
        <w:t xml:space="preserve">Changes in older adults’ impairment, activity, participation and well-being as measured by the AusTOMs following participation in a Transition Care Program.  </w:t>
      </w:r>
      <w:r w:rsidRPr="00CE0AE7">
        <w:rPr>
          <w:rFonts w:cstheme="minorHAnsi"/>
          <w:i/>
          <w:sz w:val="24"/>
          <w:szCs w:val="24"/>
          <w:lang w:eastAsia="en-AU"/>
        </w:rPr>
        <w:t>Australian Occupational Therapy Journal</w:t>
      </w:r>
      <w:r w:rsidR="00E86141">
        <w:rPr>
          <w:rFonts w:cstheme="minorHAnsi"/>
          <w:i/>
          <w:sz w:val="24"/>
          <w:szCs w:val="24"/>
          <w:lang w:eastAsia="en-AU"/>
        </w:rPr>
        <w:t xml:space="preserve">, </w:t>
      </w:r>
      <w:r w:rsidR="004D0602">
        <w:rPr>
          <w:rFonts w:cstheme="minorHAnsi"/>
          <w:i/>
          <w:sz w:val="24"/>
          <w:szCs w:val="24"/>
          <w:lang w:eastAsia="en-AU"/>
        </w:rPr>
        <w:t>67 (6), 517-527.</w:t>
      </w:r>
      <w:r w:rsidR="00E80BF5" w:rsidRPr="00CE0AE7">
        <w:rPr>
          <w:rFonts w:cstheme="minorHAnsi"/>
          <w:i/>
          <w:sz w:val="24"/>
          <w:szCs w:val="24"/>
          <w:lang w:eastAsia="en-AU"/>
        </w:rPr>
        <w:t>https://doi.org/10.1111/1440-1630.12667</w:t>
      </w:r>
    </w:p>
    <w:p w14:paraId="172AD019" w14:textId="70F8F125" w:rsidR="00071073" w:rsidRPr="00CE0AE7" w:rsidRDefault="00071073" w:rsidP="00CE0AE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pacing w:val="0"/>
          <w:sz w:val="24"/>
          <w:szCs w:val="24"/>
        </w:rPr>
      </w:pPr>
      <w:r w:rsidRPr="00CE0AE7">
        <w:rPr>
          <w:rFonts w:asciiTheme="minorHAnsi" w:hAnsiTheme="minorHAnsi" w:cstheme="minorHAnsi"/>
          <w:spacing w:val="0"/>
          <w:sz w:val="24"/>
          <w:szCs w:val="24"/>
        </w:rPr>
        <w:t>Skeat, J., &amp; Perry, A. (2004</w:t>
      </w:r>
      <w:r w:rsidR="0098743E" w:rsidRPr="00CE0AE7">
        <w:rPr>
          <w:rFonts w:asciiTheme="minorHAnsi" w:hAnsiTheme="minorHAnsi" w:cstheme="minorHAnsi"/>
          <w:spacing w:val="0"/>
          <w:sz w:val="24"/>
          <w:szCs w:val="24"/>
        </w:rPr>
        <w:t>). Outcomes</w:t>
      </w:r>
      <w:r w:rsidRPr="00CE0AE7">
        <w:rPr>
          <w:rFonts w:asciiTheme="minorHAnsi" w:hAnsiTheme="minorHAnsi" w:cstheme="minorHAnsi"/>
          <w:spacing w:val="0"/>
          <w:sz w:val="24"/>
          <w:szCs w:val="24"/>
        </w:rPr>
        <w:t xml:space="preserve"> in practice: Lessons from AusTOMs. </w:t>
      </w:r>
      <w:r w:rsidRPr="00CE0AE7">
        <w:rPr>
          <w:rFonts w:asciiTheme="minorHAnsi" w:hAnsiTheme="minorHAnsi" w:cstheme="minorHAnsi"/>
          <w:i/>
          <w:spacing w:val="0"/>
          <w:sz w:val="24"/>
          <w:szCs w:val="24"/>
        </w:rPr>
        <w:t>Acquiring knowledge in Speech, language and Hearing</w:t>
      </w:r>
      <w:r w:rsidRPr="00CE0AE7">
        <w:rPr>
          <w:rFonts w:asciiTheme="minorHAnsi" w:hAnsiTheme="minorHAnsi" w:cstheme="minorHAnsi"/>
          <w:spacing w:val="0"/>
          <w:sz w:val="24"/>
          <w:szCs w:val="24"/>
        </w:rPr>
        <w:t>, 6 (3), 123- 126.</w:t>
      </w:r>
    </w:p>
    <w:p w14:paraId="607DFE83" w14:textId="77777777" w:rsidR="00071073" w:rsidRPr="00CE0AE7" w:rsidRDefault="00071073" w:rsidP="00CE0AE7">
      <w:pPr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t xml:space="preserve">Skeat, J., &amp; Perry, A. (2005). Outcome measurement in dysphagia:  Not so hard to swallow. </w:t>
      </w:r>
      <w:r w:rsidRPr="00CE0AE7">
        <w:rPr>
          <w:rFonts w:cstheme="minorHAnsi"/>
          <w:i/>
          <w:sz w:val="24"/>
          <w:szCs w:val="24"/>
        </w:rPr>
        <w:t>Dysphagia, 20 (2</w:t>
      </w:r>
      <w:r w:rsidRPr="00CE0AE7">
        <w:rPr>
          <w:rFonts w:cstheme="minorHAnsi"/>
          <w:sz w:val="24"/>
          <w:szCs w:val="24"/>
        </w:rPr>
        <w:t>), 390-399.</w:t>
      </w:r>
    </w:p>
    <w:p w14:paraId="117ECC0F" w14:textId="77777777" w:rsidR="00071073" w:rsidRPr="00CE0AE7" w:rsidRDefault="00071073" w:rsidP="00CE0AE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pacing w:val="0"/>
          <w:sz w:val="24"/>
          <w:szCs w:val="24"/>
        </w:rPr>
      </w:pPr>
      <w:r w:rsidRPr="00CE0AE7">
        <w:rPr>
          <w:rFonts w:asciiTheme="minorHAnsi" w:hAnsiTheme="minorHAnsi" w:cstheme="minorHAnsi"/>
          <w:spacing w:val="0"/>
          <w:sz w:val="24"/>
          <w:szCs w:val="24"/>
        </w:rPr>
        <w:t xml:space="preserve">Skeat, J., Perry, A., Morris, M., Unsworth, C., Duckett, S., Dodd, K., Taylor, N. (2003).  The use of the ICF framework in an allied health outcome measure:  Australian Therapy Outcome Measures (AusTOMs). In </w:t>
      </w:r>
      <w:r w:rsidRPr="00CE0AE7">
        <w:rPr>
          <w:rFonts w:asciiTheme="minorHAnsi" w:hAnsiTheme="minorHAnsi" w:cstheme="minorHAnsi"/>
          <w:i/>
          <w:spacing w:val="0"/>
          <w:sz w:val="24"/>
          <w:szCs w:val="24"/>
        </w:rPr>
        <w:t>Australian Institute of Health and Welfare, ICF Australian user guide</w:t>
      </w:r>
      <w:r w:rsidRPr="00CE0AE7">
        <w:rPr>
          <w:rFonts w:asciiTheme="minorHAnsi" w:hAnsiTheme="minorHAnsi" w:cstheme="minorHAnsi"/>
          <w:spacing w:val="0"/>
          <w:sz w:val="24"/>
          <w:szCs w:val="24"/>
        </w:rPr>
        <w:t xml:space="preserve">. Version 1.0.  (pp. 77- 81). Canberra: Australian Institute of Health and Welfare. </w:t>
      </w:r>
    </w:p>
    <w:p w14:paraId="48671572" w14:textId="77777777" w:rsidR="00071073" w:rsidRPr="00CE0AE7" w:rsidRDefault="00071073" w:rsidP="00CE0AE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z w:val="24"/>
          <w:szCs w:val="24"/>
        </w:rPr>
      </w:pPr>
      <w:r w:rsidRPr="00CE0AE7">
        <w:rPr>
          <w:rFonts w:asciiTheme="minorHAnsi" w:hAnsiTheme="minorHAnsi" w:cstheme="minorHAnsi"/>
          <w:sz w:val="24"/>
          <w:szCs w:val="24"/>
        </w:rPr>
        <w:t xml:space="preserve">Stocks, R., </w:t>
      </w:r>
      <w:proofErr w:type="spellStart"/>
      <w:r w:rsidRPr="00CE0AE7">
        <w:rPr>
          <w:rFonts w:asciiTheme="minorHAnsi" w:hAnsiTheme="minorHAnsi" w:cstheme="minorHAnsi"/>
          <w:sz w:val="24"/>
          <w:szCs w:val="24"/>
        </w:rPr>
        <w:t>Dacakis</w:t>
      </w:r>
      <w:proofErr w:type="spellEnd"/>
      <w:r w:rsidRPr="00CE0AE7">
        <w:rPr>
          <w:rFonts w:asciiTheme="minorHAnsi" w:hAnsiTheme="minorHAnsi" w:cstheme="minorHAnsi"/>
          <w:sz w:val="24"/>
          <w:szCs w:val="24"/>
        </w:rPr>
        <w:t xml:space="preserve">, G., </w:t>
      </w:r>
      <w:proofErr w:type="spellStart"/>
      <w:r w:rsidRPr="00CE0AE7">
        <w:rPr>
          <w:rFonts w:asciiTheme="minorHAnsi" w:hAnsiTheme="minorHAnsi" w:cstheme="minorHAnsi"/>
          <w:sz w:val="24"/>
          <w:szCs w:val="24"/>
        </w:rPr>
        <w:t>Phyland</w:t>
      </w:r>
      <w:proofErr w:type="spellEnd"/>
      <w:r w:rsidRPr="00CE0AE7">
        <w:rPr>
          <w:rFonts w:asciiTheme="minorHAnsi" w:hAnsiTheme="minorHAnsi" w:cstheme="minorHAnsi"/>
          <w:sz w:val="24"/>
          <w:szCs w:val="24"/>
        </w:rPr>
        <w:t xml:space="preserve">, D., &amp; Rose, M. (2009). The effect of smooth speech on the speech production of an individual with ataxic dysarthria. </w:t>
      </w:r>
      <w:r w:rsidRPr="00CE0AE7">
        <w:rPr>
          <w:rFonts w:asciiTheme="minorHAnsi" w:hAnsiTheme="minorHAnsi" w:cstheme="minorHAnsi"/>
          <w:i/>
          <w:iCs/>
          <w:sz w:val="24"/>
          <w:szCs w:val="24"/>
        </w:rPr>
        <w:t>Brain Injury</w:t>
      </w:r>
      <w:r w:rsidRPr="00CE0AE7">
        <w:rPr>
          <w:rFonts w:asciiTheme="minorHAnsi" w:hAnsiTheme="minorHAnsi" w:cstheme="minorHAnsi"/>
          <w:sz w:val="24"/>
          <w:szCs w:val="24"/>
        </w:rPr>
        <w:t xml:space="preserve">, </w:t>
      </w:r>
      <w:r w:rsidRPr="00CE0AE7">
        <w:rPr>
          <w:rFonts w:asciiTheme="minorHAnsi" w:hAnsiTheme="minorHAnsi" w:cstheme="minorHAnsi"/>
          <w:i/>
          <w:iCs/>
          <w:sz w:val="24"/>
          <w:szCs w:val="24"/>
        </w:rPr>
        <w:t>23</w:t>
      </w:r>
      <w:r w:rsidRPr="00CE0AE7">
        <w:rPr>
          <w:rFonts w:asciiTheme="minorHAnsi" w:hAnsiTheme="minorHAnsi" w:cstheme="minorHAnsi"/>
          <w:sz w:val="24"/>
          <w:szCs w:val="24"/>
        </w:rPr>
        <w:t>(10), 820-829.</w:t>
      </w:r>
    </w:p>
    <w:p w14:paraId="35AE8085" w14:textId="77777777" w:rsidR="00071073" w:rsidRPr="00CE0AE7" w:rsidRDefault="00071073" w:rsidP="00CE0AE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z w:val="24"/>
          <w:szCs w:val="24"/>
        </w:rPr>
      </w:pPr>
      <w:r w:rsidRPr="00CE0AE7">
        <w:rPr>
          <w:rFonts w:asciiTheme="minorHAnsi" w:hAnsiTheme="minorHAnsi" w:cstheme="minorHAnsi"/>
          <w:sz w:val="24"/>
          <w:szCs w:val="24"/>
        </w:rPr>
        <w:t xml:space="preserve">Taylor, O. D., Ware, R. S., &amp; Weir, K. A. (2012). Speech Pathology Services to Children With Cancer and </w:t>
      </w:r>
      <w:proofErr w:type="spellStart"/>
      <w:r w:rsidRPr="00CE0AE7">
        <w:rPr>
          <w:rFonts w:asciiTheme="minorHAnsi" w:hAnsiTheme="minorHAnsi" w:cstheme="minorHAnsi"/>
          <w:sz w:val="24"/>
          <w:szCs w:val="24"/>
        </w:rPr>
        <w:t>Nonmalignant</w:t>
      </w:r>
      <w:proofErr w:type="spellEnd"/>
      <w:r w:rsidRPr="00CE0AE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CE0AE7">
        <w:rPr>
          <w:rFonts w:asciiTheme="minorHAnsi" w:hAnsiTheme="minorHAnsi" w:cstheme="minorHAnsi"/>
          <w:sz w:val="24"/>
          <w:szCs w:val="24"/>
        </w:rPr>
        <w:t>Hematological</w:t>
      </w:r>
      <w:proofErr w:type="spellEnd"/>
      <w:r w:rsidRPr="00CE0AE7">
        <w:rPr>
          <w:rFonts w:asciiTheme="minorHAnsi" w:hAnsiTheme="minorHAnsi" w:cstheme="minorHAnsi"/>
          <w:sz w:val="24"/>
          <w:szCs w:val="24"/>
        </w:rPr>
        <w:t xml:space="preserve"> Disorders. </w:t>
      </w:r>
      <w:r w:rsidRPr="00CE0AE7">
        <w:rPr>
          <w:rFonts w:asciiTheme="minorHAnsi" w:hAnsiTheme="minorHAnsi" w:cstheme="minorHAnsi"/>
          <w:i/>
          <w:sz w:val="24"/>
          <w:szCs w:val="24"/>
        </w:rPr>
        <w:t xml:space="preserve">Journal of </w:t>
      </w:r>
      <w:proofErr w:type="spellStart"/>
      <w:r w:rsidRPr="00CE0AE7">
        <w:rPr>
          <w:rFonts w:asciiTheme="minorHAnsi" w:hAnsiTheme="minorHAnsi" w:cstheme="minorHAnsi"/>
          <w:i/>
          <w:sz w:val="24"/>
          <w:szCs w:val="24"/>
        </w:rPr>
        <w:t>Pediatric</w:t>
      </w:r>
      <w:proofErr w:type="spellEnd"/>
      <w:r w:rsidRPr="00CE0AE7">
        <w:rPr>
          <w:rFonts w:asciiTheme="minorHAnsi" w:hAnsiTheme="minorHAnsi" w:cstheme="minorHAnsi"/>
          <w:i/>
          <w:sz w:val="24"/>
          <w:szCs w:val="24"/>
        </w:rPr>
        <w:t xml:space="preserve"> Oncology Nursing,</w:t>
      </w:r>
      <w:r w:rsidRPr="00CE0AE7">
        <w:rPr>
          <w:rFonts w:asciiTheme="minorHAnsi" w:hAnsiTheme="minorHAnsi" w:cstheme="minorHAnsi"/>
          <w:sz w:val="24"/>
          <w:szCs w:val="24"/>
        </w:rPr>
        <w:t xml:space="preserve"> 29(2), 98-108.</w:t>
      </w:r>
    </w:p>
    <w:p w14:paraId="08F8B827" w14:textId="77777777" w:rsidR="00F33DE1" w:rsidRPr="00CE0AE7" w:rsidRDefault="00F33DE1" w:rsidP="00CE0AE7">
      <w:pPr>
        <w:spacing w:after="0"/>
        <w:ind w:left="567" w:hanging="567"/>
        <w:rPr>
          <w:rFonts w:cstheme="minorHAnsi"/>
          <w:sz w:val="24"/>
          <w:szCs w:val="24"/>
          <w:lang w:eastAsia="ja-JP"/>
        </w:rPr>
      </w:pPr>
      <w:bookmarkStart w:id="7" w:name="_Hlk84154906"/>
      <w:r w:rsidRPr="00CE0AE7">
        <w:rPr>
          <w:rFonts w:cstheme="minorHAnsi"/>
          <w:sz w:val="24"/>
          <w:szCs w:val="24"/>
          <w:lang w:eastAsia="ja-JP"/>
        </w:rPr>
        <w:t>Timmer, A.J., Unsworth, C.A., &amp; Browne, M. (2020).  Occupational therapy and activity pacing with hospital associated deconditioned older adults: a randomised controlled study</w:t>
      </w:r>
      <w:r w:rsidRPr="00CE0AE7">
        <w:rPr>
          <w:rFonts w:cstheme="minorHAnsi"/>
          <w:i/>
          <w:sz w:val="24"/>
          <w:szCs w:val="24"/>
          <w:lang w:eastAsia="ja-JP"/>
        </w:rPr>
        <w:t>. Disability and Rehabilitation</w:t>
      </w:r>
      <w:r w:rsidRPr="00CE0AE7">
        <w:rPr>
          <w:rFonts w:cstheme="minorHAnsi"/>
          <w:iCs/>
          <w:sz w:val="24"/>
          <w:szCs w:val="24"/>
          <w:lang w:eastAsia="ja-JP"/>
        </w:rPr>
        <w:t>, 42 (12), 1727- 1735.</w:t>
      </w:r>
      <w:r w:rsidRPr="00CE0AE7">
        <w:rPr>
          <w:rFonts w:cstheme="minorHAnsi"/>
          <w:i/>
          <w:sz w:val="24"/>
          <w:szCs w:val="24"/>
          <w:lang w:eastAsia="ja-JP"/>
        </w:rPr>
        <w:t xml:space="preserve"> </w:t>
      </w:r>
      <w:bookmarkEnd w:id="7"/>
      <w:r w:rsidRPr="00CE0AE7">
        <w:rPr>
          <w:rFonts w:cstheme="minorHAnsi"/>
          <w:sz w:val="24"/>
          <w:szCs w:val="24"/>
          <w:lang w:eastAsia="ja-JP"/>
        </w:rPr>
        <w:t>https://doi.org/10.1080/09638288.2018.1535630</w:t>
      </w:r>
    </w:p>
    <w:p w14:paraId="66FEB195" w14:textId="77777777" w:rsidR="00CE0AE7" w:rsidRPr="00CE0AE7" w:rsidRDefault="00CE0AE7" w:rsidP="00CE0AE7">
      <w:pPr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lastRenderedPageBreak/>
        <w:t xml:space="preserve">Unsworth, C.A., &amp; Duncombe, D. (2004). </w:t>
      </w:r>
      <w:r w:rsidRPr="00CE0AE7">
        <w:rPr>
          <w:rFonts w:cstheme="minorHAnsi"/>
          <w:i/>
          <w:sz w:val="24"/>
          <w:szCs w:val="24"/>
        </w:rPr>
        <w:t>AusTOMs for Occupational Therapy.</w:t>
      </w:r>
      <w:r w:rsidRPr="00CE0AE7">
        <w:rPr>
          <w:rFonts w:cstheme="minorHAnsi"/>
          <w:sz w:val="24"/>
          <w:szCs w:val="24"/>
        </w:rPr>
        <w:t xml:space="preserve"> La Trobe University, Melbourne. ISBN 1-920948-54-6.</w:t>
      </w:r>
    </w:p>
    <w:p w14:paraId="02853A73" w14:textId="729DF779" w:rsidR="00071073" w:rsidRPr="00CE0AE7" w:rsidRDefault="00071073" w:rsidP="00CE0AE7">
      <w:pPr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t>Unsworth, C., Duckett, S.</w:t>
      </w:r>
      <w:r w:rsidR="00C728E3" w:rsidRPr="00CE0AE7">
        <w:rPr>
          <w:rFonts w:cstheme="minorHAnsi"/>
          <w:sz w:val="24"/>
          <w:szCs w:val="24"/>
        </w:rPr>
        <w:t>, Duncombe</w:t>
      </w:r>
      <w:r w:rsidRPr="00CE0AE7">
        <w:rPr>
          <w:rFonts w:cstheme="minorHAnsi"/>
          <w:sz w:val="24"/>
          <w:szCs w:val="24"/>
        </w:rPr>
        <w:t>, D., Perry, A., Skeat, J.</w:t>
      </w:r>
      <w:proofErr w:type="gramStart"/>
      <w:r w:rsidRPr="00CE0AE7">
        <w:rPr>
          <w:rFonts w:cstheme="minorHAnsi"/>
          <w:sz w:val="24"/>
          <w:szCs w:val="24"/>
        </w:rPr>
        <w:t>,  Taylor</w:t>
      </w:r>
      <w:proofErr w:type="gramEnd"/>
      <w:r w:rsidRPr="00CE0AE7">
        <w:rPr>
          <w:rFonts w:cstheme="minorHAnsi"/>
          <w:sz w:val="24"/>
          <w:szCs w:val="24"/>
        </w:rPr>
        <w:t xml:space="preserve">., N. (2004). Validity of the </w:t>
      </w:r>
      <w:proofErr w:type="spellStart"/>
      <w:r w:rsidRPr="00CE0AE7">
        <w:rPr>
          <w:rFonts w:cstheme="minorHAnsi"/>
          <w:sz w:val="24"/>
          <w:szCs w:val="24"/>
        </w:rPr>
        <w:t>AusTOM</w:t>
      </w:r>
      <w:proofErr w:type="spellEnd"/>
      <w:r w:rsidRPr="00CE0AE7">
        <w:rPr>
          <w:rFonts w:cstheme="minorHAnsi"/>
          <w:sz w:val="24"/>
          <w:szCs w:val="24"/>
        </w:rPr>
        <w:t xml:space="preserve"> Scales:  A comparison of the AusTOMs and EuroQol-5D. </w:t>
      </w:r>
      <w:r w:rsidRPr="00CE0AE7">
        <w:rPr>
          <w:rFonts w:cstheme="minorHAnsi"/>
          <w:i/>
          <w:sz w:val="24"/>
          <w:szCs w:val="24"/>
        </w:rPr>
        <w:t>Health and Quality of Life Outcomes,2</w:t>
      </w:r>
      <w:r w:rsidRPr="00CE0AE7">
        <w:rPr>
          <w:rFonts w:cstheme="minorHAnsi"/>
          <w:sz w:val="24"/>
          <w:szCs w:val="24"/>
        </w:rPr>
        <w:t>, 1- 12.</w:t>
      </w:r>
    </w:p>
    <w:p w14:paraId="0D15CEFB" w14:textId="312BD5BE" w:rsidR="00071073" w:rsidRPr="00CE0AE7" w:rsidRDefault="00071073" w:rsidP="00CE0AE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pacing w:val="0"/>
          <w:sz w:val="24"/>
          <w:szCs w:val="24"/>
        </w:rPr>
      </w:pPr>
      <w:r w:rsidRPr="00CE0AE7">
        <w:rPr>
          <w:rFonts w:asciiTheme="minorHAnsi" w:hAnsiTheme="minorHAnsi" w:cstheme="minorHAnsi"/>
          <w:spacing w:val="0"/>
          <w:sz w:val="24"/>
          <w:szCs w:val="24"/>
        </w:rPr>
        <w:t>Unsworth, C.A.</w:t>
      </w:r>
      <w:r w:rsidR="00C728E3" w:rsidRPr="00CE0AE7">
        <w:rPr>
          <w:rFonts w:asciiTheme="minorHAnsi" w:hAnsiTheme="minorHAnsi" w:cstheme="minorHAnsi"/>
          <w:spacing w:val="0"/>
          <w:sz w:val="24"/>
          <w:szCs w:val="24"/>
        </w:rPr>
        <w:t xml:space="preserve"> </w:t>
      </w:r>
      <w:r w:rsidRPr="00CE0AE7">
        <w:rPr>
          <w:rFonts w:asciiTheme="minorHAnsi" w:hAnsiTheme="minorHAnsi" w:cstheme="minorHAnsi"/>
          <w:spacing w:val="0"/>
          <w:sz w:val="24"/>
          <w:szCs w:val="24"/>
        </w:rPr>
        <w:t xml:space="preserve">(2005). Measuring outcomes using the Australian Therapy Outcome Measures for Occupational Therapy (AusTOMs - OT):  Data description and tool sensitivity. </w:t>
      </w:r>
      <w:r w:rsidRPr="00CE0AE7">
        <w:rPr>
          <w:rFonts w:asciiTheme="minorHAnsi" w:hAnsiTheme="minorHAnsi" w:cstheme="minorHAnsi"/>
          <w:i/>
          <w:spacing w:val="0"/>
          <w:sz w:val="24"/>
          <w:szCs w:val="24"/>
        </w:rPr>
        <w:t>British Journal of Occupational Therapy</w:t>
      </w:r>
      <w:r w:rsidRPr="00CE0AE7">
        <w:rPr>
          <w:rFonts w:asciiTheme="minorHAnsi" w:hAnsiTheme="minorHAnsi" w:cstheme="minorHAnsi"/>
          <w:spacing w:val="0"/>
          <w:sz w:val="24"/>
          <w:szCs w:val="24"/>
        </w:rPr>
        <w:t>,68(8), 354- 36.</w:t>
      </w:r>
    </w:p>
    <w:p w14:paraId="638EE59B" w14:textId="77777777" w:rsidR="00071073" w:rsidRPr="00CE0AE7" w:rsidRDefault="00071073" w:rsidP="00CE0AE7">
      <w:pPr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t xml:space="preserve">Unsworth, C.A., &amp; Duncombe, D. (2005). A comparison of client outcomes from two acute care neurological services using </w:t>
      </w:r>
      <w:proofErr w:type="spellStart"/>
      <w:r w:rsidRPr="00CE0AE7">
        <w:rPr>
          <w:rFonts w:cstheme="minorHAnsi"/>
          <w:sz w:val="24"/>
          <w:szCs w:val="24"/>
        </w:rPr>
        <w:t>self care</w:t>
      </w:r>
      <w:proofErr w:type="spellEnd"/>
      <w:r w:rsidRPr="00CE0AE7">
        <w:rPr>
          <w:rFonts w:cstheme="minorHAnsi"/>
          <w:sz w:val="24"/>
          <w:szCs w:val="24"/>
        </w:rPr>
        <w:t xml:space="preserve"> data from the Australian Therapy Outcome Measures for Occupational Therapy (AusTOMs - OT). </w:t>
      </w:r>
      <w:r w:rsidRPr="00CE0AE7">
        <w:rPr>
          <w:rFonts w:cstheme="minorHAnsi"/>
          <w:i/>
          <w:sz w:val="24"/>
          <w:szCs w:val="24"/>
        </w:rPr>
        <w:t>British Journal of Occupational Therapy, 68(</w:t>
      </w:r>
      <w:r w:rsidRPr="00CE0AE7">
        <w:rPr>
          <w:rFonts w:cstheme="minorHAnsi"/>
          <w:sz w:val="24"/>
          <w:szCs w:val="24"/>
        </w:rPr>
        <w:t>10), 477- 482.</w:t>
      </w:r>
    </w:p>
    <w:p w14:paraId="7C0B606B" w14:textId="77777777" w:rsidR="00071073" w:rsidRPr="00CE0AE7" w:rsidRDefault="00071073" w:rsidP="00CE0AE7">
      <w:pPr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t xml:space="preserve">Unsworth, C.A., &amp; Duncombe, D. (2007). </w:t>
      </w:r>
      <w:r w:rsidRPr="00CE0AE7">
        <w:rPr>
          <w:rFonts w:cstheme="minorHAnsi"/>
          <w:i/>
          <w:sz w:val="24"/>
          <w:szCs w:val="24"/>
        </w:rPr>
        <w:t>AusTOMs for Occupational Therapy (2</w:t>
      </w:r>
      <w:r w:rsidRPr="00CE0AE7">
        <w:rPr>
          <w:rFonts w:cstheme="minorHAnsi"/>
          <w:i/>
          <w:sz w:val="24"/>
          <w:szCs w:val="24"/>
          <w:vertAlign w:val="superscript"/>
        </w:rPr>
        <w:t>nd</w:t>
      </w:r>
      <w:r w:rsidRPr="00CE0AE7">
        <w:rPr>
          <w:rFonts w:cstheme="minorHAnsi"/>
          <w:i/>
          <w:sz w:val="24"/>
          <w:szCs w:val="24"/>
        </w:rPr>
        <w:t xml:space="preserve"> Ed).</w:t>
      </w:r>
      <w:r w:rsidRPr="00CE0AE7">
        <w:rPr>
          <w:rFonts w:cstheme="minorHAnsi"/>
          <w:sz w:val="24"/>
          <w:szCs w:val="24"/>
        </w:rPr>
        <w:t xml:space="preserve"> La Trobe University, Melbourne. ISBN 1-921377-08-2.</w:t>
      </w:r>
    </w:p>
    <w:p w14:paraId="2A5DB371" w14:textId="77777777" w:rsidR="00CE0AE7" w:rsidRPr="00CE0AE7" w:rsidRDefault="00CE0AE7" w:rsidP="00CE0AE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i/>
          <w:sz w:val="24"/>
          <w:szCs w:val="24"/>
        </w:rPr>
      </w:pPr>
      <w:r w:rsidRPr="00CE0AE7">
        <w:rPr>
          <w:rFonts w:asciiTheme="minorHAnsi" w:hAnsiTheme="minorHAnsi" w:cstheme="minorHAnsi"/>
          <w:sz w:val="24"/>
          <w:szCs w:val="24"/>
        </w:rPr>
        <w:t xml:space="preserve">Unsworth, C.A. (2008). Using the Australian Therapy Outcome Measures for Occupational Therapy (AusTOMs-OT) to measure outcomes for clients following stroke. </w:t>
      </w:r>
      <w:r w:rsidRPr="00CE0AE7">
        <w:rPr>
          <w:rFonts w:asciiTheme="minorHAnsi" w:hAnsiTheme="minorHAnsi" w:cstheme="minorHAnsi"/>
          <w:i/>
          <w:sz w:val="24"/>
          <w:szCs w:val="24"/>
        </w:rPr>
        <w:t xml:space="preserve">Topics in stroke Rehabilitation, 15(4), </w:t>
      </w:r>
      <w:r w:rsidRPr="00CE0AE7">
        <w:rPr>
          <w:rFonts w:asciiTheme="minorHAnsi" w:hAnsiTheme="minorHAnsi" w:cstheme="minorHAnsi"/>
          <w:sz w:val="24"/>
          <w:szCs w:val="24"/>
        </w:rPr>
        <w:t>351- 364</w:t>
      </w:r>
      <w:r w:rsidRPr="00CE0AE7">
        <w:rPr>
          <w:rFonts w:asciiTheme="minorHAnsi" w:hAnsiTheme="minorHAnsi" w:cstheme="minorHAnsi"/>
          <w:i/>
          <w:sz w:val="24"/>
          <w:szCs w:val="24"/>
        </w:rPr>
        <w:t>.</w:t>
      </w:r>
    </w:p>
    <w:p w14:paraId="5BC5ADE4" w14:textId="77777777" w:rsidR="00CE0AE7" w:rsidRPr="00CE0AE7" w:rsidRDefault="00CE0AE7" w:rsidP="00CE0AE7">
      <w:pPr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t xml:space="preserve">Unsworth, C.A., Bearup, A., &amp; Rickard, K. (2009). A benchmark comparison of outcomes for clients with upper limb dysfunction following stroke using the Australian Therapy Outcome Measures for Occupational Therapy (AusTOMs-OT), </w:t>
      </w:r>
      <w:r w:rsidRPr="00CE0AE7">
        <w:rPr>
          <w:rFonts w:cstheme="minorHAnsi"/>
          <w:i/>
          <w:sz w:val="24"/>
          <w:szCs w:val="24"/>
        </w:rPr>
        <w:t xml:space="preserve">American Journal of Occupational Therapy 63 </w:t>
      </w:r>
      <w:r w:rsidRPr="00CE0AE7">
        <w:rPr>
          <w:rFonts w:cstheme="minorHAnsi"/>
          <w:sz w:val="24"/>
          <w:szCs w:val="24"/>
        </w:rPr>
        <w:t xml:space="preserve">(6), 732- 74. </w:t>
      </w:r>
    </w:p>
    <w:p w14:paraId="5B7EE567" w14:textId="77777777" w:rsidR="00071073" w:rsidRPr="00CE0AE7" w:rsidRDefault="00071073" w:rsidP="00CE0AE7">
      <w:pPr>
        <w:tabs>
          <w:tab w:val="num" w:pos="567"/>
        </w:tabs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t xml:space="preserve">Unsworth, C.A., &amp; Duncombe, D. (2011). </w:t>
      </w:r>
      <w:r w:rsidRPr="00CE0AE7">
        <w:rPr>
          <w:rFonts w:cstheme="minorHAnsi"/>
          <w:i/>
          <w:sz w:val="24"/>
          <w:szCs w:val="24"/>
        </w:rPr>
        <w:t xml:space="preserve"> Australian Therapy </w:t>
      </w:r>
      <w:r w:rsidRPr="00CE0AE7">
        <w:rPr>
          <w:rFonts w:cstheme="minorHAnsi"/>
          <w:sz w:val="24"/>
          <w:szCs w:val="24"/>
        </w:rPr>
        <w:t>Outcome Measures, Swedish Version for Occupational therapy (</w:t>
      </w:r>
      <w:proofErr w:type="spellStart"/>
      <w:r w:rsidRPr="00CE0AE7">
        <w:rPr>
          <w:rFonts w:cstheme="minorHAnsi"/>
          <w:sz w:val="24"/>
          <w:szCs w:val="24"/>
        </w:rPr>
        <w:t>AusTOMS</w:t>
      </w:r>
      <w:proofErr w:type="spellEnd"/>
      <w:r w:rsidRPr="00CE0AE7">
        <w:rPr>
          <w:rFonts w:cstheme="minorHAnsi"/>
          <w:sz w:val="24"/>
          <w:szCs w:val="24"/>
        </w:rPr>
        <w:t xml:space="preserve">-OT-S), translated into Swedish by Fristedt, S., Jonsson, S., Londos, Y., &amp; </w:t>
      </w:r>
      <w:proofErr w:type="spellStart"/>
      <w:r w:rsidRPr="00CE0AE7">
        <w:rPr>
          <w:rFonts w:cstheme="minorHAnsi"/>
          <w:sz w:val="24"/>
          <w:szCs w:val="24"/>
        </w:rPr>
        <w:t>Timen</w:t>
      </w:r>
      <w:proofErr w:type="spellEnd"/>
      <w:r w:rsidRPr="00CE0AE7">
        <w:rPr>
          <w:rFonts w:cstheme="minorHAnsi"/>
          <w:sz w:val="24"/>
          <w:szCs w:val="24"/>
        </w:rPr>
        <w:t xml:space="preserve">, E.  La Trobe University, Melbourne. </w:t>
      </w:r>
    </w:p>
    <w:p w14:paraId="2E337610" w14:textId="26D9816B" w:rsidR="00071073" w:rsidRPr="00CE0AE7" w:rsidRDefault="00071073" w:rsidP="00CE0AE7">
      <w:pPr>
        <w:tabs>
          <w:tab w:val="num" w:pos="567"/>
        </w:tabs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t xml:space="preserve">Unsworth, C.A., &amp; Duncombe, D. (2014). </w:t>
      </w:r>
      <w:r w:rsidRPr="00CE0AE7">
        <w:rPr>
          <w:rFonts w:cstheme="minorHAnsi"/>
          <w:i/>
          <w:sz w:val="24"/>
          <w:szCs w:val="24"/>
        </w:rPr>
        <w:t>AusTOMs for Occupational Therapy</w:t>
      </w:r>
      <w:r w:rsidRPr="00CE0AE7">
        <w:rPr>
          <w:rFonts w:cstheme="minorHAnsi"/>
          <w:sz w:val="24"/>
          <w:szCs w:val="24"/>
        </w:rPr>
        <w:t xml:space="preserve"> (3</w:t>
      </w:r>
      <w:r w:rsidRPr="00CE0AE7">
        <w:rPr>
          <w:rFonts w:cstheme="minorHAnsi"/>
          <w:sz w:val="24"/>
          <w:szCs w:val="24"/>
          <w:vertAlign w:val="superscript"/>
        </w:rPr>
        <w:t>rd</w:t>
      </w:r>
      <w:r w:rsidRPr="00CE0AE7">
        <w:rPr>
          <w:rFonts w:cstheme="minorHAnsi"/>
          <w:sz w:val="24"/>
          <w:szCs w:val="24"/>
        </w:rPr>
        <w:t xml:space="preserve"> ed). La Trobe University, Melbourne.</w:t>
      </w:r>
      <w:r w:rsidR="00176C90" w:rsidRPr="00CE0AE7">
        <w:rPr>
          <w:rFonts w:cstheme="minorHAnsi"/>
          <w:sz w:val="24"/>
          <w:szCs w:val="24"/>
        </w:rPr>
        <w:t xml:space="preserve"> ISBN 9781921915345.</w:t>
      </w:r>
    </w:p>
    <w:p w14:paraId="7F591AD0" w14:textId="002CE9EF" w:rsidR="00071073" w:rsidRPr="00CE0AE7" w:rsidRDefault="00071073" w:rsidP="00CE0AE7">
      <w:pPr>
        <w:tabs>
          <w:tab w:val="num" w:pos="567"/>
        </w:tabs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</w:rPr>
        <w:t xml:space="preserve">Unsworth, C.A., &amp; Duncombe, D. (2014). </w:t>
      </w:r>
      <w:r w:rsidR="00E53807" w:rsidRPr="00CE0AE7">
        <w:rPr>
          <w:rFonts w:cstheme="minorHAnsi"/>
          <w:i/>
          <w:sz w:val="24"/>
          <w:szCs w:val="24"/>
        </w:rPr>
        <w:t>AusTOMs for Occupational Therapy</w:t>
      </w:r>
      <w:r w:rsidR="00E53807" w:rsidRPr="00CE0AE7">
        <w:rPr>
          <w:rFonts w:cstheme="minorHAnsi"/>
          <w:sz w:val="24"/>
          <w:szCs w:val="24"/>
        </w:rPr>
        <w:t xml:space="preserve"> </w:t>
      </w:r>
      <w:r w:rsidRPr="00CE0AE7">
        <w:rPr>
          <w:rFonts w:cstheme="minorHAnsi"/>
          <w:sz w:val="24"/>
          <w:szCs w:val="24"/>
        </w:rPr>
        <w:t xml:space="preserve">translated into Arabic by Yasar Awad.  La Trobe University, Melbourne. </w:t>
      </w:r>
    </w:p>
    <w:p w14:paraId="31EF900B" w14:textId="2AE1135C" w:rsidR="00071073" w:rsidRPr="00CE0AE7" w:rsidRDefault="00071073" w:rsidP="00CE0AE7">
      <w:pPr>
        <w:spacing w:after="0"/>
        <w:ind w:left="567" w:hanging="567"/>
        <w:rPr>
          <w:rFonts w:cstheme="minorHAnsi"/>
          <w:sz w:val="24"/>
          <w:szCs w:val="24"/>
        </w:rPr>
      </w:pPr>
      <w:r w:rsidRPr="00CE0AE7">
        <w:rPr>
          <w:rFonts w:cstheme="minorHAnsi"/>
          <w:sz w:val="24"/>
          <w:szCs w:val="24"/>
          <w:lang w:eastAsia="en-AU"/>
        </w:rPr>
        <w:t xml:space="preserve">Unsworth, C.A., Coulson, M., Swinton, L., Cole, H., &amp; </w:t>
      </w:r>
      <w:proofErr w:type="spellStart"/>
      <w:r w:rsidRPr="00CE0AE7">
        <w:rPr>
          <w:rFonts w:cstheme="minorHAnsi"/>
          <w:sz w:val="24"/>
          <w:szCs w:val="24"/>
        </w:rPr>
        <w:t>Sarigiannis</w:t>
      </w:r>
      <w:proofErr w:type="spellEnd"/>
      <w:r w:rsidRPr="00CE0AE7">
        <w:rPr>
          <w:rFonts w:cstheme="minorHAnsi"/>
          <w:sz w:val="24"/>
          <w:szCs w:val="24"/>
          <w:lang w:eastAsia="en-AU"/>
        </w:rPr>
        <w:t xml:space="preserve">, M. (2015). </w:t>
      </w:r>
      <w:r w:rsidRPr="00CE0AE7">
        <w:rPr>
          <w:rFonts w:cstheme="minorHAnsi"/>
          <w:sz w:val="24"/>
          <w:szCs w:val="24"/>
        </w:rPr>
        <w:t>Determination of the minimum clinically important difference on the Australian Therapy Outcome Measures for Occupational Therapy (AusTOMs-OT).</w:t>
      </w:r>
      <w:r w:rsidRPr="00CE0AE7">
        <w:rPr>
          <w:rFonts w:cstheme="minorHAnsi"/>
          <w:sz w:val="24"/>
          <w:szCs w:val="24"/>
          <w:lang w:eastAsia="en-AU"/>
        </w:rPr>
        <w:t xml:space="preserve">  </w:t>
      </w:r>
      <w:r w:rsidRPr="00CE0AE7">
        <w:rPr>
          <w:rFonts w:cstheme="minorHAnsi"/>
          <w:i/>
          <w:sz w:val="24"/>
          <w:szCs w:val="24"/>
          <w:lang w:eastAsia="en-AU"/>
        </w:rPr>
        <w:t>Disability and Rehabilitation,</w:t>
      </w:r>
      <w:r w:rsidRPr="00CE0AE7">
        <w:rPr>
          <w:rFonts w:cstheme="minorHAnsi"/>
          <w:sz w:val="24"/>
          <w:szCs w:val="24"/>
        </w:rPr>
        <w:t>37 (11), 997-1003.</w:t>
      </w:r>
      <w:r w:rsidR="00EB1576" w:rsidRPr="00CE0AE7">
        <w:rPr>
          <w:rFonts w:cstheme="minorHAnsi"/>
          <w:sz w:val="24"/>
          <w:szCs w:val="24"/>
        </w:rPr>
        <w:t xml:space="preserve"> </w:t>
      </w:r>
      <w:r w:rsidRPr="00CE0AE7">
        <w:rPr>
          <w:rFonts w:cstheme="minorHAnsi"/>
          <w:sz w:val="24"/>
          <w:szCs w:val="24"/>
          <w:lang w:eastAsia="en-AU"/>
        </w:rPr>
        <w:t>DOI 10.3109/09638288.2014.95245</w:t>
      </w:r>
    </w:p>
    <w:p w14:paraId="0916CB68" w14:textId="77777777" w:rsidR="00CE0AE7" w:rsidRPr="00CE0AE7" w:rsidRDefault="00CE0AE7" w:rsidP="00CE0AE7">
      <w:pPr>
        <w:tabs>
          <w:tab w:val="num" w:pos="567"/>
        </w:tabs>
        <w:spacing w:after="0"/>
        <w:ind w:left="567" w:hanging="567"/>
        <w:rPr>
          <w:rFonts w:cstheme="minorHAnsi"/>
          <w:sz w:val="24"/>
          <w:szCs w:val="24"/>
          <w:lang w:eastAsia="en-AU"/>
        </w:rPr>
      </w:pPr>
      <w:r w:rsidRPr="00CE0AE7">
        <w:rPr>
          <w:rFonts w:cstheme="minorHAnsi"/>
          <w:sz w:val="24"/>
          <w:szCs w:val="24"/>
          <w:lang w:eastAsia="en-AU"/>
        </w:rPr>
        <w:t xml:space="preserve">Unsworth, C.A. (2017).  </w:t>
      </w:r>
      <w:r w:rsidRPr="00CE0AE7">
        <w:rPr>
          <w:rFonts w:cstheme="minorHAnsi"/>
          <w:sz w:val="24"/>
          <w:szCs w:val="24"/>
        </w:rPr>
        <w:t xml:space="preserve">Analysing and interpreting outcomes data to support evidence-based practice using the example of AusTOMs-OT.  </w:t>
      </w:r>
      <w:r w:rsidRPr="00CE0AE7">
        <w:rPr>
          <w:rFonts w:cstheme="minorHAnsi"/>
          <w:i/>
          <w:sz w:val="24"/>
          <w:szCs w:val="24"/>
          <w:lang w:eastAsia="en-AU"/>
        </w:rPr>
        <w:t>British Journal of Occupational Therapy, 80 (10),</w:t>
      </w:r>
      <w:r w:rsidRPr="00CE0AE7">
        <w:rPr>
          <w:rFonts w:cstheme="minorHAnsi"/>
          <w:sz w:val="24"/>
          <w:szCs w:val="24"/>
          <w:lang w:eastAsia="en-AU"/>
        </w:rPr>
        <w:t xml:space="preserve"> 631- 637.</w:t>
      </w:r>
    </w:p>
    <w:p w14:paraId="4E75BF33" w14:textId="77777777" w:rsidR="00071073" w:rsidRPr="00CE0AE7" w:rsidRDefault="00071073" w:rsidP="00C51808">
      <w:pPr>
        <w:spacing w:after="0"/>
        <w:ind w:left="567" w:hanging="567"/>
        <w:rPr>
          <w:rFonts w:cstheme="minorHAnsi"/>
          <w:i/>
          <w:sz w:val="24"/>
          <w:szCs w:val="24"/>
        </w:rPr>
      </w:pPr>
      <w:r w:rsidRPr="00CE0AE7">
        <w:rPr>
          <w:rFonts w:cstheme="minorHAnsi"/>
          <w:sz w:val="24"/>
          <w:szCs w:val="24"/>
          <w:lang w:eastAsia="en-AU"/>
        </w:rPr>
        <w:t>Unsworth, C.A., Timmer, A., &amp; Wales, K. (2018)</w:t>
      </w:r>
      <w:r w:rsidRPr="00CE0AE7">
        <w:rPr>
          <w:rFonts w:cstheme="minorHAnsi"/>
          <w:color w:val="000000"/>
          <w:sz w:val="24"/>
          <w:szCs w:val="24"/>
        </w:rPr>
        <w:t xml:space="preserve">. </w:t>
      </w:r>
      <w:r w:rsidRPr="00CE0AE7">
        <w:rPr>
          <w:rFonts w:cstheme="minorHAnsi"/>
          <w:sz w:val="24"/>
          <w:szCs w:val="24"/>
        </w:rPr>
        <w:t xml:space="preserve">Reliability of the Australian Therapy Outcome Measures for Occupational Therapy (AusTOMs-OT). </w:t>
      </w:r>
      <w:r w:rsidRPr="00CE0AE7">
        <w:rPr>
          <w:rFonts w:cstheme="minorHAnsi"/>
          <w:i/>
          <w:color w:val="000000"/>
          <w:sz w:val="24"/>
          <w:szCs w:val="24"/>
        </w:rPr>
        <w:t>Australian Occupational Therapy Journal, 65</w:t>
      </w:r>
      <w:r w:rsidRPr="00CE0AE7">
        <w:rPr>
          <w:rFonts w:cstheme="minorHAnsi"/>
          <w:color w:val="000000"/>
          <w:sz w:val="24"/>
          <w:szCs w:val="24"/>
        </w:rPr>
        <w:t xml:space="preserve"> (5), 375- 386.</w:t>
      </w:r>
    </w:p>
    <w:p w14:paraId="325CB680" w14:textId="77777777" w:rsidR="00C51808" w:rsidRPr="00C51808" w:rsidRDefault="00C51808" w:rsidP="00C51808">
      <w:pPr>
        <w:spacing w:after="0" w:line="240" w:lineRule="auto"/>
        <w:ind w:left="567" w:right="4" w:hanging="567"/>
        <w:rPr>
          <w:rFonts w:cstheme="minorHAnsi"/>
          <w:bCs/>
          <w:sz w:val="24"/>
          <w:szCs w:val="24"/>
        </w:rPr>
      </w:pPr>
      <w:r w:rsidRPr="00C51808">
        <w:rPr>
          <w:rFonts w:cstheme="minorHAnsi"/>
          <w:bCs/>
          <w:sz w:val="24"/>
          <w:szCs w:val="24"/>
        </w:rPr>
        <w:t xml:space="preserve">Unsworth, C.A. (2019).  Using AusTOMs-OT to measure global client outcomes.  In </w:t>
      </w:r>
      <w:r w:rsidRPr="00C51808">
        <w:rPr>
          <w:rFonts w:cstheme="minorHAnsi"/>
          <w:bCs/>
          <w:color w:val="111111"/>
          <w:sz w:val="24"/>
          <w:szCs w:val="24"/>
        </w:rPr>
        <w:t>B.J. Hemphill-Pearson &amp; C.K. Urish</w:t>
      </w:r>
      <w:r w:rsidRPr="00C51808">
        <w:rPr>
          <w:rFonts w:cstheme="minorHAnsi"/>
          <w:bCs/>
          <w:sz w:val="24"/>
          <w:szCs w:val="24"/>
        </w:rPr>
        <w:t xml:space="preserve"> (Eds.), </w:t>
      </w:r>
      <w:r w:rsidRPr="00C51808">
        <w:rPr>
          <w:rFonts w:cstheme="minorHAnsi"/>
          <w:bCs/>
          <w:i/>
          <w:color w:val="111111"/>
          <w:sz w:val="24"/>
          <w:szCs w:val="24"/>
        </w:rPr>
        <w:t>Assessments in Occupational Therapy Mental Health: An Integrative Approach (3</w:t>
      </w:r>
      <w:r w:rsidRPr="00C51808">
        <w:rPr>
          <w:rFonts w:cstheme="minorHAnsi"/>
          <w:bCs/>
          <w:i/>
          <w:color w:val="111111"/>
          <w:sz w:val="24"/>
          <w:szCs w:val="24"/>
          <w:vertAlign w:val="superscript"/>
        </w:rPr>
        <w:t>rd</w:t>
      </w:r>
      <w:r w:rsidRPr="00C51808">
        <w:rPr>
          <w:rFonts w:cstheme="minorHAnsi"/>
          <w:bCs/>
          <w:i/>
          <w:color w:val="111111"/>
          <w:sz w:val="24"/>
          <w:szCs w:val="24"/>
        </w:rPr>
        <w:t xml:space="preserve"> Ed.)</w:t>
      </w:r>
      <w:r w:rsidRPr="00C51808">
        <w:rPr>
          <w:rFonts w:cstheme="minorHAnsi"/>
          <w:bCs/>
          <w:sz w:val="24"/>
          <w:szCs w:val="24"/>
        </w:rPr>
        <w:t>. New Jersey: SLACK.</w:t>
      </w:r>
    </w:p>
    <w:p w14:paraId="52C8A887" w14:textId="77777777" w:rsidR="00740AAB" w:rsidRPr="00CE0AE7" w:rsidRDefault="00740AAB" w:rsidP="00C51808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z w:val="24"/>
          <w:szCs w:val="24"/>
          <w:lang w:eastAsia="en-AU"/>
        </w:rPr>
      </w:pPr>
      <w:r w:rsidRPr="00CE0AE7">
        <w:rPr>
          <w:rFonts w:asciiTheme="minorHAnsi" w:hAnsiTheme="minorHAnsi" w:cstheme="minorHAnsi"/>
          <w:sz w:val="24"/>
          <w:szCs w:val="24"/>
          <w:lang w:eastAsia="en-AU"/>
        </w:rPr>
        <w:lastRenderedPageBreak/>
        <w:t>Williams, C.M., Davies, N., Kolic, J., Caserta, A., James, A.M., &amp; Unsworth, C.A. (2020 accepted).  Validity and reliability of the Australian Therapy Outcome Measures – Physiotherapy, for Podiatry (AusTOMs-PT for use in Podiatry</w:t>
      </w:r>
      <w:r w:rsidRPr="00CE0AE7">
        <w:rPr>
          <w:rFonts w:asciiTheme="minorHAnsi" w:hAnsiTheme="minorHAnsi" w:cstheme="minorHAnsi"/>
          <w:i/>
          <w:sz w:val="24"/>
          <w:szCs w:val="24"/>
          <w:lang w:eastAsia="en-AU"/>
        </w:rPr>
        <w:t>).  Journal of Foot and Ankle Research</w:t>
      </w:r>
      <w:r w:rsidRPr="00CE0AE7">
        <w:rPr>
          <w:rFonts w:asciiTheme="minorHAnsi" w:hAnsiTheme="minorHAnsi" w:cstheme="minorHAnsi"/>
          <w:sz w:val="24"/>
          <w:szCs w:val="24"/>
          <w:lang w:eastAsia="en-AU"/>
        </w:rPr>
        <w:t xml:space="preserve">. </w:t>
      </w:r>
    </w:p>
    <w:p w14:paraId="1634F321" w14:textId="57CF9D0C" w:rsidR="00071073" w:rsidRPr="00CE0AE7" w:rsidRDefault="00071073" w:rsidP="00CE0AE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z w:val="24"/>
          <w:szCs w:val="24"/>
        </w:rPr>
      </w:pPr>
      <w:r w:rsidRPr="00CE0AE7">
        <w:rPr>
          <w:rFonts w:asciiTheme="minorHAnsi" w:hAnsiTheme="minorHAnsi" w:cstheme="minorHAnsi"/>
          <w:sz w:val="24"/>
          <w:szCs w:val="24"/>
        </w:rPr>
        <w:t xml:space="preserve">Ward, E., Crombie, J., Trickey, M., Hill, A., Theodoros, D., &amp; Russell, T. (2009). Assessment of communication and swallowing post-laryngectomy: a telerehabilitation trial. </w:t>
      </w:r>
      <w:r w:rsidRPr="00CE0AE7">
        <w:rPr>
          <w:rFonts w:asciiTheme="minorHAnsi" w:hAnsiTheme="minorHAnsi" w:cstheme="minorHAnsi"/>
          <w:i/>
          <w:iCs/>
          <w:sz w:val="24"/>
          <w:szCs w:val="24"/>
        </w:rPr>
        <w:t>Journal of Telemedicine and Telecare</w:t>
      </w:r>
      <w:r w:rsidRPr="00CE0AE7">
        <w:rPr>
          <w:rFonts w:asciiTheme="minorHAnsi" w:hAnsiTheme="minorHAnsi" w:cstheme="minorHAnsi"/>
          <w:sz w:val="24"/>
          <w:szCs w:val="24"/>
        </w:rPr>
        <w:t xml:space="preserve">, </w:t>
      </w:r>
      <w:r w:rsidRPr="00CE0AE7">
        <w:rPr>
          <w:rFonts w:asciiTheme="minorHAnsi" w:hAnsiTheme="minorHAnsi" w:cstheme="minorHAnsi"/>
          <w:i/>
          <w:iCs/>
          <w:sz w:val="24"/>
          <w:szCs w:val="24"/>
        </w:rPr>
        <w:t>15</w:t>
      </w:r>
      <w:r w:rsidRPr="00CE0AE7">
        <w:rPr>
          <w:rFonts w:asciiTheme="minorHAnsi" w:hAnsiTheme="minorHAnsi" w:cstheme="minorHAnsi"/>
          <w:sz w:val="24"/>
          <w:szCs w:val="24"/>
        </w:rPr>
        <w:t xml:space="preserve">(5), 232-237. </w:t>
      </w:r>
    </w:p>
    <w:p w14:paraId="2011E6A9" w14:textId="23246BA5" w:rsidR="00027F14" w:rsidRPr="00CE0AE7" w:rsidRDefault="00071073" w:rsidP="00CE0AE7">
      <w:pPr>
        <w:pStyle w:val="BodyText"/>
        <w:spacing w:after="0" w:line="276" w:lineRule="auto"/>
        <w:ind w:left="567" w:hanging="567"/>
        <w:jc w:val="left"/>
        <w:rPr>
          <w:rFonts w:asciiTheme="minorHAnsi" w:hAnsiTheme="minorHAnsi" w:cstheme="minorHAnsi"/>
          <w:sz w:val="24"/>
          <w:szCs w:val="24"/>
        </w:rPr>
      </w:pPr>
      <w:r w:rsidRPr="00CE0AE7">
        <w:rPr>
          <w:rFonts w:asciiTheme="minorHAnsi" w:hAnsiTheme="minorHAnsi" w:cstheme="minorHAnsi"/>
          <w:sz w:val="24"/>
          <w:szCs w:val="24"/>
        </w:rPr>
        <w:t xml:space="preserve">Wenke, R. J., Theodoros, D., &amp; Cornwell, P. (2008). The short-and long-term effectiveness of the LSVT® for dysarthria following TBI and stroke. </w:t>
      </w:r>
      <w:r w:rsidRPr="00CE0AE7">
        <w:rPr>
          <w:rFonts w:asciiTheme="minorHAnsi" w:hAnsiTheme="minorHAnsi" w:cstheme="minorHAnsi"/>
          <w:i/>
          <w:sz w:val="24"/>
          <w:szCs w:val="24"/>
        </w:rPr>
        <w:t>Brain Injury</w:t>
      </w:r>
      <w:r w:rsidRPr="00CE0AE7">
        <w:rPr>
          <w:rFonts w:asciiTheme="minorHAnsi" w:hAnsiTheme="minorHAnsi" w:cstheme="minorHAnsi"/>
          <w:sz w:val="24"/>
          <w:szCs w:val="24"/>
        </w:rPr>
        <w:t>, 22(4), 339-352.</w:t>
      </w:r>
    </w:p>
    <w:sectPr w:rsidR="00027F14" w:rsidRPr="00CE0AE7" w:rsidSect="00AF2E6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21B3C" w14:textId="77777777" w:rsidR="00FB3637" w:rsidRDefault="00FB3637" w:rsidP="00CE0AE7">
      <w:pPr>
        <w:spacing w:after="0" w:line="240" w:lineRule="auto"/>
      </w:pPr>
      <w:r>
        <w:separator/>
      </w:r>
    </w:p>
  </w:endnote>
  <w:endnote w:type="continuationSeparator" w:id="0">
    <w:p w14:paraId="2A2B3AFC" w14:textId="77777777" w:rsidR="00FB3637" w:rsidRDefault="00FB3637" w:rsidP="00CE0A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CFD47" w14:textId="77777777" w:rsidR="00FB3637" w:rsidRDefault="00FB3637" w:rsidP="00CE0AE7">
      <w:pPr>
        <w:spacing w:after="0" w:line="240" w:lineRule="auto"/>
      </w:pPr>
      <w:r>
        <w:separator/>
      </w:r>
    </w:p>
  </w:footnote>
  <w:footnote w:type="continuationSeparator" w:id="0">
    <w:p w14:paraId="27D084BB" w14:textId="77777777" w:rsidR="00FB3637" w:rsidRDefault="00FB3637" w:rsidP="00CE0A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08988204"/>
      <w:docPartObj>
        <w:docPartGallery w:val="Page Numbers (Top of Page)"/>
        <w:docPartUnique/>
      </w:docPartObj>
    </w:sdtPr>
    <w:sdtEndPr>
      <w:rPr>
        <w:rFonts w:ascii="Arial Narrow" w:hAnsi="Arial Narrow"/>
        <w:color w:val="7F7F7F" w:themeColor="background1" w:themeShade="7F"/>
        <w:spacing w:val="60"/>
        <w:sz w:val="20"/>
        <w:szCs w:val="20"/>
      </w:rPr>
    </w:sdtEndPr>
    <w:sdtContent>
      <w:p w14:paraId="71094BE6" w14:textId="42C36A5E" w:rsidR="00CE0AE7" w:rsidRPr="00CE0AE7" w:rsidRDefault="00CE0AE7" w:rsidP="00CE0AE7">
        <w:pPr>
          <w:pStyle w:val="Header"/>
          <w:pBdr>
            <w:bottom w:val="single" w:sz="4" w:space="1" w:color="D9D9D9" w:themeColor="background1" w:themeShade="D9"/>
          </w:pBdr>
          <w:jc w:val="right"/>
          <w:rPr>
            <w:rFonts w:ascii="Arial Narrow" w:hAnsi="Arial Narrow"/>
            <w:b/>
            <w:bCs/>
            <w:sz w:val="20"/>
            <w:szCs w:val="20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 w:rsidRPr="00CE0AE7">
          <w:rPr>
            <w:rFonts w:ascii="Arial Narrow" w:hAnsi="Arial Narrow"/>
            <w:color w:val="7F7F7F" w:themeColor="background1" w:themeShade="7F"/>
            <w:spacing w:val="60"/>
            <w:sz w:val="20"/>
            <w:szCs w:val="20"/>
          </w:rPr>
          <w:t>Page AusTOMs References</w:t>
        </w:r>
      </w:p>
    </w:sdtContent>
  </w:sdt>
  <w:p w14:paraId="36663FE4" w14:textId="6B26B11E" w:rsidR="00CE0AE7" w:rsidRDefault="00CE0AE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42372"/>
    <w:multiLevelType w:val="hybridMultilevel"/>
    <w:tmpl w:val="D654EF0E"/>
    <w:lvl w:ilvl="0" w:tplc="98DA900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1B707D"/>
    <w:multiLevelType w:val="hybridMultilevel"/>
    <w:tmpl w:val="560466DA"/>
    <w:lvl w:ilvl="0" w:tplc="78688B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B95486"/>
    <w:multiLevelType w:val="hybridMultilevel"/>
    <w:tmpl w:val="B44C5642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4BF37421"/>
    <w:multiLevelType w:val="hybridMultilevel"/>
    <w:tmpl w:val="A9885C76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570309595">
    <w:abstractNumId w:val="2"/>
  </w:num>
  <w:num w:numId="2" w16cid:durableId="2125684923">
    <w:abstractNumId w:val="3"/>
  </w:num>
  <w:num w:numId="3" w16cid:durableId="1224484400">
    <w:abstractNumId w:val="0"/>
  </w:num>
  <w:num w:numId="4" w16cid:durableId="6288227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7F14"/>
    <w:rsid w:val="000151B8"/>
    <w:rsid w:val="00027F14"/>
    <w:rsid w:val="00071073"/>
    <w:rsid w:val="00176C90"/>
    <w:rsid w:val="001D6213"/>
    <w:rsid w:val="00202C18"/>
    <w:rsid w:val="00265661"/>
    <w:rsid w:val="00306261"/>
    <w:rsid w:val="00405459"/>
    <w:rsid w:val="004D0602"/>
    <w:rsid w:val="004E6DAE"/>
    <w:rsid w:val="00553403"/>
    <w:rsid w:val="005D59C7"/>
    <w:rsid w:val="006A048F"/>
    <w:rsid w:val="00740AAB"/>
    <w:rsid w:val="007E535A"/>
    <w:rsid w:val="00841B7F"/>
    <w:rsid w:val="0098743E"/>
    <w:rsid w:val="00991450"/>
    <w:rsid w:val="00AF2E66"/>
    <w:rsid w:val="00B00E4E"/>
    <w:rsid w:val="00BD6AB7"/>
    <w:rsid w:val="00C15592"/>
    <w:rsid w:val="00C51808"/>
    <w:rsid w:val="00C728E3"/>
    <w:rsid w:val="00CE0AE7"/>
    <w:rsid w:val="00D35460"/>
    <w:rsid w:val="00E044E9"/>
    <w:rsid w:val="00E53807"/>
    <w:rsid w:val="00E80BF5"/>
    <w:rsid w:val="00E86141"/>
    <w:rsid w:val="00EB1576"/>
    <w:rsid w:val="00EB6BF5"/>
    <w:rsid w:val="00F33DE1"/>
    <w:rsid w:val="00FB3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A9E197"/>
  <w15:docId w15:val="{466F0114-3499-406A-9537-32F3A456E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2E66"/>
  </w:style>
  <w:style w:type="paragraph" w:styleId="Heading1">
    <w:name w:val="heading 1"/>
    <w:basedOn w:val="Normal"/>
    <w:next w:val="BodyText"/>
    <w:link w:val="Heading1Char"/>
    <w:qFormat/>
    <w:rsid w:val="00027F14"/>
    <w:pPr>
      <w:keepNext/>
      <w:spacing w:before="240" w:after="120" w:line="240" w:lineRule="auto"/>
      <w:outlineLvl w:val="0"/>
    </w:pPr>
    <w:rPr>
      <w:rFonts w:ascii="Arial Black" w:eastAsia="Times New Roman" w:hAnsi="Arial Black" w:cs="Times New Roman"/>
      <w:color w:val="808080"/>
      <w:spacing w:val="-25"/>
      <w:kern w:val="28"/>
      <w:sz w:val="32"/>
      <w:szCs w:val="20"/>
    </w:rPr>
  </w:style>
  <w:style w:type="paragraph" w:styleId="Heading2">
    <w:name w:val="heading 2"/>
    <w:basedOn w:val="Normal"/>
    <w:next w:val="BodyText"/>
    <w:link w:val="Heading2Char"/>
    <w:autoRedefine/>
    <w:qFormat/>
    <w:rsid w:val="00027F14"/>
    <w:pPr>
      <w:keepNext/>
      <w:spacing w:after="0" w:line="240" w:lineRule="auto"/>
      <w:jc w:val="center"/>
      <w:outlineLvl w:val="1"/>
    </w:pPr>
    <w:rPr>
      <w:rFonts w:ascii="Arial (W1)" w:eastAsia="Times New Roman" w:hAnsi="Arial (W1)" w:cs="Times New Roman"/>
      <w:b/>
      <w:caps/>
      <w:kern w:val="28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27F14"/>
    <w:rPr>
      <w:rFonts w:ascii="Arial Black" w:eastAsia="Times New Roman" w:hAnsi="Arial Black" w:cs="Times New Roman"/>
      <w:color w:val="808080"/>
      <w:spacing w:val="-25"/>
      <w:kern w:val="28"/>
      <w:sz w:val="32"/>
      <w:szCs w:val="20"/>
    </w:rPr>
  </w:style>
  <w:style w:type="character" w:customStyle="1" w:styleId="Heading2Char">
    <w:name w:val="Heading 2 Char"/>
    <w:basedOn w:val="DefaultParagraphFont"/>
    <w:link w:val="Heading2"/>
    <w:rsid w:val="00027F14"/>
    <w:rPr>
      <w:rFonts w:ascii="Arial (W1)" w:eastAsia="Times New Roman" w:hAnsi="Arial (W1)" w:cs="Times New Roman"/>
      <w:b/>
      <w:caps/>
      <w:kern w:val="28"/>
      <w:sz w:val="24"/>
    </w:rPr>
  </w:style>
  <w:style w:type="paragraph" w:styleId="BodyText">
    <w:name w:val="Body Text"/>
    <w:basedOn w:val="Normal"/>
    <w:link w:val="BodyTextChar1"/>
    <w:rsid w:val="00027F14"/>
    <w:pPr>
      <w:spacing w:after="240" w:line="300" w:lineRule="auto"/>
      <w:jc w:val="both"/>
    </w:pPr>
    <w:rPr>
      <w:rFonts w:ascii="Garamond" w:eastAsia="Times New Roman" w:hAnsi="Garamond" w:cs="Times New Roman"/>
      <w:spacing w:val="-5"/>
      <w:sz w:val="26"/>
      <w:szCs w:val="20"/>
    </w:rPr>
  </w:style>
  <w:style w:type="character" w:customStyle="1" w:styleId="BodyTextChar">
    <w:name w:val="Body Text Char"/>
    <w:basedOn w:val="DefaultParagraphFont"/>
    <w:uiPriority w:val="99"/>
    <w:semiHidden/>
    <w:rsid w:val="00027F14"/>
  </w:style>
  <w:style w:type="character" w:styleId="Hyperlink">
    <w:name w:val="Hyperlink"/>
    <w:uiPriority w:val="99"/>
    <w:rsid w:val="00027F14"/>
    <w:rPr>
      <w:color w:val="0000FF"/>
      <w:u w:val="single"/>
    </w:rPr>
  </w:style>
  <w:style w:type="character" w:customStyle="1" w:styleId="BodyTextChar1">
    <w:name w:val="Body Text Char1"/>
    <w:link w:val="BodyText"/>
    <w:rsid w:val="00027F14"/>
    <w:rPr>
      <w:rFonts w:ascii="Garamond" w:eastAsia="Times New Roman" w:hAnsi="Garamond" w:cs="Times New Roman"/>
      <w:spacing w:val="-5"/>
      <w:sz w:val="26"/>
      <w:szCs w:val="20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15592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15592"/>
  </w:style>
  <w:style w:type="paragraph" w:customStyle="1" w:styleId="APAHeading1">
    <w:name w:val="APA Heading 1"/>
    <w:basedOn w:val="Heading2"/>
    <w:rsid w:val="00C15592"/>
    <w:pPr>
      <w:spacing w:line="480" w:lineRule="auto"/>
    </w:pPr>
    <w:rPr>
      <w:rFonts w:ascii="Garamond" w:hAnsi="Garamond"/>
      <w:b w:val="0"/>
      <w:caps w:val="0"/>
      <w:kern w:val="0"/>
      <w:szCs w:val="20"/>
    </w:rPr>
  </w:style>
  <w:style w:type="paragraph" w:styleId="NormalWeb">
    <w:name w:val="Normal (Web)"/>
    <w:basedOn w:val="Normal"/>
    <w:uiPriority w:val="99"/>
    <w:unhideWhenUsed/>
    <w:rsid w:val="00C1559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99"/>
    <w:qFormat/>
    <w:rsid w:val="00F33DE1"/>
    <w:pPr>
      <w:spacing w:after="0" w:line="240" w:lineRule="auto"/>
      <w:ind w:left="720"/>
    </w:pPr>
    <w:rPr>
      <w:rFonts w:ascii="New York" w:eastAsia="Times New Roman" w:hAnsi="New York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CE0A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0AE7"/>
  </w:style>
  <w:style w:type="paragraph" w:styleId="Footer">
    <w:name w:val="footer"/>
    <w:basedOn w:val="Normal"/>
    <w:link w:val="FooterChar"/>
    <w:uiPriority w:val="99"/>
    <w:unhideWhenUsed/>
    <w:rsid w:val="00CE0A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0A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786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dx.doi.org/10.1016/j.prro.2012.11.0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ce26db92-c3e6-4284-bd18-c911c3621d09}" enabled="1" method="Privileged" siteId="{cdf54d0f-cccc-4bf5-a773-9107927d3c5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1284</Words>
  <Characters>8321</Characters>
  <Application>Microsoft Office Word</Application>
  <DocSecurity>0</DocSecurity>
  <Lines>154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 Trobe University</Company>
  <LinksUpToDate>false</LinksUpToDate>
  <CharactersWithSpaces>9521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AusTOMs References</dc:title>
  <dc:creator>Carolyn Unsworth</dc:creator>
  <cp:lastModifiedBy>Carolyn Unsworth</cp:lastModifiedBy>
  <cp:revision>21</cp:revision>
  <dcterms:created xsi:type="dcterms:W3CDTF">2014-05-16T02:27:00Z</dcterms:created>
  <dcterms:modified xsi:type="dcterms:W3CDTF">2026-01-12T07:16:00Z</dcterms:modified>
</cp:coreProperties>
</file>